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tLeast"/>
        <w:jc w:val="center"/>
        <w:rPr>
          <w:rFonts w:ascii="方正小标宋简体" w:hAnsi="微软雅黑" w:eastAsia="方正小标宋简体"/>
          <w:bCs/>
        </w:rPr>
      </w:pPr>
      <w:r>
        <w:rPr>
          <w:rFonts w:hint="eastAsia" w:ascii="方正小标宋简体" w:hAnsi="微软雅黑" w:eastAsia="方正小标宋简体" w:cs="Arial"/>
          <w:bCs/>
          <w:sz w:val="44"/>
          <w:szCs w:val="32"/>
        </w:rPr>
        <w:t>进口煤采购合同</w:t>
      </w:r>
    </w:p>
    <w:p>
      <w:pPr>
        <w:spacing w:line="240" w:lineRule="exact"/>
        <w:jc w:val="center"/>
        <w:rPr>
          <w:rFonts w:ascii="宋体" w:hAnsi="宋体"/>
          <w:bCs/>
          <w:sz w:val="28"/>
          <w:szCs w:val="28"/>
        </w:rPr>
      </w:pPr>
    </w:p>
    <w:tbl>
      <w:tblPr>
        <w:tblStyle w:val="14"/>
        <w:tblpPr w:leftFromText="180" w:rightFromText="180" w:vertAnchor="text" w:horzAnchor="margin" w:tblpY="-11"/>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271" w:type="dxa"/>
            <w:shd w:val="clear" w:color="auto" w:fill="auto"/>
          </w:tcPr>
          <w:p>
            <w:pPr>
              <w:spacing w:line="340" w:lineRule="exact"/>
              <w:jc w:val="distribute"/>
              <w:rPr>
                <w:rFonts w:ascii="宋体" w:hAnsi="宋体"/>
                <w:sz w:val="24"/>
                <w:szCs w:val="24"/>
              </w:rPr>
            </w:pPr>
            <w:bookmarkStart w:id="0" w:name="合同编号"/>
            <w:bookmarkEnd w:id="0"/>
            <w:bookmarkStart w:id="1" w:name="_Hlk3297278"/>
            <w:r>
              <w:rPr>
                <w:rFonts w:ascii="宋体" w:hAnsi="宋体"/>
                <w:b/>
                <w:bCs/>
                <w:sz w:val="24"/>
                <w:szCs w:val="24"/>
              </w:rPr>
              <w:t>合同编号</w:t>
            </w:r>
          </w:p>
        </w:tc>
        <w:tc>
          <w:tcPr>
            <w:tcW w:w="8363" w:type="dxa"/>
            <w:shd w:val="clear" w:color="auto" w:fill="auto"/>
          </w:tcPr>
          <w:p>
            <w:pPr>
              <w:spacing w:line="340" w:lineRule="exact"/>
              <w:ind w:right="-107" w:rightChars="-51"/>
              <w:jc w:val="left"/>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1" w:type="dxa"/>
            <w:shd w:val="clear" w:color="auto" w:fill="auto"/>
          </w:tcPr>
          <w:p>
            <w:pPr>
              <w:spacing w:line="340" w:lineRule="exact"/>
              <w:ind w:left="-120" w:leftChars="-57" w:right="-105" w:rightChars="-50"/>
              <w:jc w:val="distribute"/>
              <w:rPr>
                <w:rFonts w:ascii="宋体" w:hAnsi="宋体"/>
                <w:b/>
                <w:bCs/>
                <w:sz w:val="24"/>
                <w:szCs w:val="24"/>
              </w:rPr>
            </w:pPr>
            <w:r>
              <w:rPr>
                <w:rFonts w:ascii="宋体" w:hAnsi="宋体"/>
                <w:b/>
                <w:bCs/>
                <w:sz w:val="24"/>
                <w:szCs w:val="24"/>
              </w:rPr>
              <w:t>竞价</w:t>
            </w:r>
            <w:r>
              <w:rPr>
                <w:rFonts w:hint="eastAsia" w:ascii="宋体" w:hAnsi="宋体"/>
                <w:b/>
                <w:bCs/>
                <w:sz w:val="24"/>
                <w:szCs w:val="24"/>
              </w:rPr>
              <w:t>单</w:t>
            </w:r>
            <w:r>
              <w:rPr>
                <w:rFonts w:ascii="宋体" w:hAnsi="宋体"/>
                <w:b/>
                <w:bCs/>
                <w:sz w:val="24"/>
                <w:szCs w:val="24"/>
              </w:rPr>
              <w:t>编号</w:t>
            </w:r>
          </w:p>
        </w:tc>
        <w:tc>
          <w:tcPr>
            <w:tcW w:w="8363" w:type="dxa"/>
            <w:shd w:val="clear" w:color="auto" w:fill="auto"/>
          </w:tcPr>
          <w:p>
            <w:pPr>
              <w:spacing w:line="340" w:lineRule="exact"/>
              <w:ind w:right="-107" w:rightChars="-51"/>
              <w:jc w:val="left"/>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1" w:type="dxa"/>
            <w:shd w:val="clear" w:color="auto" w:fill="auto"/>
          </w:tcPr>
          <w:p>
            <w:pPr>
              <w:spacing w:line="340" w:lineRule="exact"/>
              <w:jc w:val="distribute"/>
              <w:rPr>
                <w:rFonts w:ascii="宋体" w:hAnsi="宋体"/>
                <w:b/>
                <w:bCs/>
                <w:sz w:val="24"/>
                <w:szCs w:val="24"/>
              </w:rPr>
            </w:pPr>
            <w:r>
              <w:rPr>
                <w:rFonts w:ascii="宋体" w:hAnsi="宋体"/>
                <w:b/>
                <w:bCs/>
                <w:sz w:val="24"/>
                <w:szCs w:val="24"/>
              </w:rPr>
              <w:t>签订地点</w:t>
            </w:r>
          </w:p>
        </w:tc>
        <w:tc>
          <w:tcPr>
            <w:tcW w:w="8363" w:type="dxa"/>
            <w:shd w:val="clear" w:color="auto" w:fill="auto"/>
          </w:tcPr>
          <w:p>
            <w:pPr>
              <w:spacing w:line="340" w:lineRule="exact"/>
              <w:ind w:right="-107" w:rightChars="-51"/>
              <w:jc w:val="left"/>
              <w:rPr>
                <w:rFonts w:ascii="宋体" w:hAnsi="宋体"/>
                <w:sz w:val="24"/>
                <w:szCs w:val="24"/>
              </w:rPr>
            </w:pPr>
            <w:r>
              <w:rPr>
                <w:rFonts w:hint="eastAsia" w:ascii="宋体" w:hAnsi="宋体"/>
                <w:sz w:val="24"/>
                <w:szCs w:val="24"/>
              </w:rPr>
              <w:t>辽宁</w:t>
            </w:r>
            <w:r>
              <w:rPr>
                <w:rFonts w:ascii="宋体" w:hAnsi="宋体"/>
                <w:sz w:val="24"/>
                <w:szCs w:val="24"/>
              </w:rPr>
              <w:t>省</w:t>
            </w:r>
            <w:r>
              <w:rPr>
                <w:rFonts w:hint="eastAsia" w:ascii="宋体" w:hAnsi="宋体"/>
                <w:sz w:val="24"/>
                <w:szCs w:val="24"/>
              </w:rPr>
              <w:t>锦州</w:t>
            </w:r>
            <w:r>
              <w:rPr>
                <w:rFonts w:ascii="宋体" w:hAnsi="宋体"/>
                <w:sz w:val="24"/>
                <w:szCs w:val="24"/>
              </w:rPr>
              <w:t>市</w:t>
            </w:r>
          </w:p>
        </w:tc>
      </w:tr>
      <w:bookmarkEnd w:id="1"/>
    </w:tbl>
    <w:p>
      <w:pPr>
        <w:spacing w:line="340" w:lineRule="exact"/>
        <w:jc w:val="center"/>
        <w:rPr>
          <w:rFonts w:ascii="宋体" w:hAnsi="宋体"/>
          <w:b/>
          <w:bCs/>
          <w:sz w:val="24"/>
          <w:szCs w:val="24"/>
        </w:rPr>
      </w:pPr>
    </w:p>
    <w:p>
      <w:pPr>
        <w:spacing w:line="340" w:lineRule="exact"/>
        <w:rPr>
          <w:rFonts w:ascii="宋体" w:hAnsi="宋体"/>
          <w:b/>
          <w:bCs/>
          <w:sz w:val="24"/>
          <w:szCs w:val="24"/>
        </w:rPr>
      </w:pPr>
    </w:p>
    <w:p>
      <w:pPr>
        <w:spacing w:line="340" w:lineRule="exact"/>
        <w:rPr>
          <w:rFonts w:ascii="宋体" w:hAnsi="宋体"/>
          <w:b/>
          <w:bCs/>
          <w:sz w:val="24"/>
          <w:szCs w:val="24"/>
        </w:rPr>
      </w:pPr>
    </w:p>
    <w:p>
      <w:pPr>
        <w:spacing w:line="300" w:lineRule="exact"/>
        <w:rPr>
          <w:rFonts w:ascii="宋体" w:hAnsi="宋体"/>
          <w:b/>
          <w:bCs/>
          <w:sz w:val="24"/>
          <w:szCs w:val="24"/>
        </w:rPr>
      </w:pPr>
    </w:p>
    <w:p>
      <w:pPr>
        <w:rPr>
          <w:sz w:val="36"/>
          <w:szCs w:val="36"/>
        </w:rPr>
      </w:pPr>
      <w:r>
        <w:rPr>
          <w:rFonts w:ascii="宋体" w:hAnsi="宋体"/>
          <w:b/>
          <w:bCs/>
          <w:sz w:val="24"/>
          <w:szCs w:val="24"/>
        </w:rPr>
        <w:t>买方（甲方）：</w:t>
      </w:r>
      <w:r>
        <w:rPr>
          <w:rFonts w:hint="eastAsia" w:ascii="宋体" w:hAnsi="宋体"/>
          <w:sz w:val="24"/>
        </w:rPr>
        <w:t>辽宁大唐国际新能源有限公司锦州热电分公司</w:t>
      </w:r>
    </w:p>
    <w:p>
      <w:pPr>
        <w:spacing w:line="300" w:lineRule="exact"/>
        <w:rPr>
          <w:rFonts w:ascii="宋体" w:hAnsi="宋体"/>
          <w:sz w:val="24"/>
          <w:szCs w:val="24"/>
        </w:rPr>
      </w:pPr>
    </w:p>
    <w:p>
      <w:pPr>
        <w:spacing w:line="300" w:lineRule="exact"/>
        <w:ind w:right="-512" w:rightChars="-244"/>
        <w:rPr>
          <w:rFonts w:ascii="宋体" w:hAnsi="宋体"/>
          <w:sz w:val="24"/>
          <w:szCs w:val="24"/>
        </w:rPr>
      </w:pPr>
      <w:r>
        <w:rPr>
          <w:rFonts w:ascii="宋体" w:hAnsi="宋体"/>
          <w:b/>
          <w:bCs/>
          <w:sz w:val="24"/>
          <w:szCs w:val="24"/>
        </w:rPr>
        <w:t>卖方（乙方）：</w:t>
      </w:r>
    </w:p>
    <w:p>
      <w:pPr>
        <w:spacing w:line="300" w:lineRule="exact"/>
        <w:ind w:firstLine="480" w:firstLineChars="200"/>
        <w:rPr>
          <w:rFonts w:ascii="宋体" w:hAnsi="宋体"/>
          <w:sz w:val="24"/>
        </w:rPr>
      </w:pPr>
      <w:r>
        <w:rPr>
          <w:rFonts w:hint="eastAsia" w:ascii="宋体" w:hAnsi="宋体"/>
          <w:sz w:val="24"/>
        </w:rPr>
        <w:t>买卖双方经在大唐电子采购平台（</w:t>
      </w:r>
      <w:r>
        <w:fldChar w:fldCharType="begin"/>
      </w:r>
      <w:r>
        <w:instrText xml:space="preserve"> HYPERLINK "http://www.dtrlcg.com" </w:instrText>
      </w:r>
      <w:r>
        <w:fldChar w:fldCharType="separate"/>
      </w:r>
      <w:r>
        <w:rPr>
          <w:rStyle w:val="13"/>
          <w:rFonts w:hint="eastAsia" w:ascii="宋体" w:hAnsi="宋体"/>
          <w:i/>
          <w:color w:val="auto"/>
          <w:sz w:val="24"/>
        </w:rPr>
        <w:t>w</w:t>
      </w:r>
      <w:r>
        <w:rPr>
          <w:rStyle w:val="13"/>
          <w:rFonts w:ascii="宋体" w:hAnsi="宋体"/>
          <w:i/>
          <w:color w:val="auto"/>
          <w:sz w:val="24"/>
        </w:rPr>
        <w:t>ww.dtrlcg.com</w:t>
      </w:r>
      <w:r>
        <w:rPr>
          <w:rStyle w:val="13"/>
          <w:rFonts w:ascii="宋体" w:hAnsi="宋体"/>
          <w:i/>
          <w:color w:val="auto"/>
          <w:sz w:val="24"/>
        </w:rPr>
        <w:fldChar w:fldCharType="end"/>
      </w:r>
      <w:r>
        <w:rPr>
          <w:rFonts w:hint="eastAsia" w:ascii="宋体" w:hAnsi="宋体"/>
          <w:sz w:val="24"/>
        </w:rPr>
        <w:t>）公开</w:t>
      </w:r>
      <w:r>
        <w:rPr>
          <w:rFonts w:hint="eastAsia" w:ascii="宋体" w:hAnsi="宋体"/>
          <w:sz w:val="24"/>
          <w:szCs w:val="24"/>
        </w:rPr>
        <w:t>竞价及/或</w:t>
      </w:r>
      <w:r>
        <w:rPr>
          <w:rFonts w:hint="eastAsia" w:ascii="宋体" w:hAnsi="宋体"/>
          <w:sz w:val="24"/>
        </w:rPr>
        <w:t>平等协商，</w:t>
      </w:r>
      <w:r>
        <w:rPr>
          <w:rFonts w:ascii="宋体" w:hAnsi="宋体"/>
          <w:sz w:val="24"/>
          <w:szCs w:val="24"/>
        </w:rPr>
        <w:t>达成一致意见，</w:t>
      </w:r>
      <w:r>
        <w:rPr>
          <w:rFonts w:hint="eastAsia" w:ascii="宋体" w:hAnsi="宋体"/>
          <w:sz w:val="24"/>
          <w:szCs w:val="24"/>
        </w:rPr>
        <w:t>并</w:t>
      </w:r>
      <w:r>
        <w:rPr>
          <w:rFonts w:hint="eastAsia" w:ascii="宋体" w:hAnsi="宋体"/>
          <w:sz w:val="24"/>
        </w:rPr>
        <w:t>根据相关法律法规</w:t>
      </w:r>
      <w:r>
        <w:rPr>
          <w:rFonts w:ascii="宋体" w:hAnsi="宋体"/>
          <w:sz w:val="24"/>
          <w:szCs w:val="24"/>
        </w:rPr>
        <w:t>共同签订本合同</w:t>
      </w:r>
      <w:r>
        <w:rPr>
          <w:rFonts w:hint="eastAsia" w:ascii="宋体" w:hAnsi="宋体"/>
          <w:sz w:val="24"/>
        </w:rPr>
        <w:t>。</w:t>
      </w:r>
    </w:p>
    <w:p>
      <w:pPr>
        <w:pStyle w:val="20"/>
        <w:numPr>
          <w:ilvl w:val="0"/>
          <w:numId w:val="1"/>
        </w:numPr>
        <w:spacing w:before="120" w:line="300" w:lineRule="exact"/>
        <w:ind w:firstLineChars="0"/>
        <w:outlineLvl w:val="0"/>
        <w:rPr>
          <w:rFonts w:ascii="宋体" w:hAnsi="宋体"/>
          <w:sz w:val="24"/>
          <w:szCs w:val="24"/>
        </w:rPr>
      </w:pPr>
      <w:r>
        <w:rPr>
          <w:rFonts w:ascii="宋体" w:hAnsi="宋体"/>
          <w:b/>
          <w:bCs/>
          <w:sz w:val="24"/>
          <w:szCs w:val="24"/>
        </w:rPr>
        <w:t>煤炭品种：</w:t>
      </w:r>
      <w:r>
        <w:rPr>
          <w:rStyle w:val="40"/>
        </w:rPr>
        <w:t>印尼褐煤</w:t>
      </w:r>
      <w:r>
        <w:rPr>
          <w:rStyle w:val="40"/>
          <w:rFonts w:hint="eastAsia"/>
        </w:rPr>
        <w:t>。</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数量及交货期限：</w:t>
      </w:r>
    </w:p>
    <w:p>
      <w:pPr>
        <w:pStyle w:val="20"/>
        <w:numPr>
          <w:ilvl w:val="1"/>
          <w:numId w:val="1"/>
        </w:numPr>
        <w:spacing w:line="300" w:lineRule="exact"/>
        <w:ind w:left="851" w:hanging="426" w:firstLineChars="0"/>
        <w:outlineLvl w:val="0"/>
        <w:rPr>
          <w:rFonts w:ascii="宋体" w:hAnsi="宋体"/>
          <w:sz w:val="24"/>
          <w:szCs w:val="24"/>
        </w:rPr>
      </w:pPr>
      <w:bookmarkStart w:id="2" w:name="到货期限"/>
      <w:r>
        <w:rPr>
          <w:rFonts w:hint="eastAsia" w:ascii="宋体" w:hAnsi="宋体"/>
          <w:sz w:val="24"/>
          <w:szCs w:val="24"/>
        </w:rPr>
        <w:t>交</w:t>
      </w:r>
      <w:r>
        <w:rPr>
          <w:rFonts w:ascii="宋体" w:hAnsi="宋体"/>
          <w:sz w:val="24"/>
          <w:szCs w:val="24"/>
        </w:rPr>
        <w:t>货期限：</w:t>
      </w:r>
      <w:bookmarkEnd w:id="2"/>
      <w:r>
        <w:rPr>
          <w:rFonts w:hint="eastAsia" w:ascii="宋体" w:hAnsi="宋体"/>
          <w:sz w:val="24"/>
          <w:szCs w:val="24"/>
          <w:highlight w:val="cyan"/>
        </w:rPr>
        <w:t>2</w:t>
      </w:r>
      <w:r>
        <w:rPr>
          <w:rFonts w:ascii="宋体" w:hAnsi="宋体"/>
          <w:sz w:val="24"/>
          <w:szCs w:val="24"/>
          <w:highlight w:val="cyan"/>
        </w:rPr>
        <w:t>023</w:t>
      </w:r>
      <w:r>
        <w:rPr>
          <w:rFonts w:hint="eastAsia" w:ascii="宋体" w:hAnsi="宋体"/>
          <w:sz w:val="24"/>
          <w:szCs w:val="24"/>
          <w:highlight w:val="cyan"/>
        </w:rPr>
        <w:t>年</w:t>
      </w:r>
      <w:r>
        <w:rPr>
          <w:rFonts w:hint="eastAsia" w:ascii="宋体" w:hAnsi="宋体"/>
          <w:sz w:val="24"/>
          <w:szCs w:val="24"/>
          <w:highlight w:val="cyan"/>
          <w:lang w:val="en-US" w:eastAsia="zh-CN"/>
        </w:rPr>
        <w:t>11</w:t>
      </w:r>
      <w:r>
        <w:rPr>
          <w:rFonts w:hint="eastAsia" w:ascii="宋体" w:hAnsi="宋体"/>
          <w:sz w:val="24"/>
          <w:szCs w:val="24"/>
          <w:highlight w:val="cyan"/>
        </w:rPr>
        <w:t>月</w:t>
      </w:r>
      <w:r>
        <w:rPr>
          <w:rFonts w:hint="eastAsia" w:ascii="宋体" w:hAnsi="宋体"/>
          <w:sz w:val="24"/>
          <w:szCs w:val="24"/>
          <w:highlight w:val="cyan"/>
          <w:lang w:val="en-US" w:eastAsia="zh-CN"/>
        </w:rPr>
        <w:t xml:space="preserve"> 15</w:t>
      </w:r>
      <w:r>
        <w:rPr>
          <w:rFonts w:hint="eastAsia" w:ascii="宋体" w:hAnsi="宋体"/>
          <w:sz w:val="24"/>
          <w:szCs w:val="24"/>
          <w:highlight w:val="cyan"/>
        </w:rPr>
        <w:t>日</w:t>
      </w:r>
      <w:r>
        <w:rPr>
          <w:rFonts w:hint="eastAsia" w:ascii="宋体" w:hAnsi="宋体"/>
          <w:sz w:val="24"/>
          <w:szCs w:val="24"/>
          <w:highlight w:val="cyan"/>
          <w:lang w:eastAsia="zh-CN"/>
        </w:rPr>
        <w:t>前</w:t>
      </w:r>
      <w:r>
        <w:rPr>
          <w:rFonts w:ascii="宋体" w:hAnsi="宋体"/>
          <w:sz w:val="24"/>
          <w:szCs w:val="24"/>
          <w:highlight w:val="cyan"/>
        </w:rPr>
        <w:t>。</w:t>
      </w:r>
    </w:p>
    <w:p>
      <w:pPr>
        <w:pStyle w:val="20"/>
        <w:numPr>
          <w:ilvl w:val="1"/>
          <w:numId w:val="1"/>
        </w:numPr>
        <w:spacing w:line="300" w:lineRule="exact"/>
        <w:ind w:left="851" w:hanging="426" w:firstLineChars="0"/>
        <w:outlineLvl w:val="0"/>
        <w:rPr>
          <w:rFonts w:ascii="宋体" w:hAnsi="宋体"/>
          <w:sz w:val="24"/>
          <w:szCs w:val="24"/>
        </w:rPr>
      </w:pPr>
      <w:r>
        <w:rPr>
          <w:rFonts w:hint="eastAsia" w:ascii="宋体" w:hAnsi="宋体"/>
          <w:sz w:val="24"/>
          <w:szCs w:val="24"/>
        </w:rPr>
        <w:t>交</w:t>
      </w:r>
      <w:r>
        <w:rPr>
          <w:rFonts w:ascii="宋体" w:hAnsi="宋体"/>
          <w:sz w:val="24"/>
          <w:szCs w:val="24"/>
        </w:rPr>
        <w:t>货期限指船舶抵达卸货港锚地之日。</w:t>
      </w:r>
    </w:p>
    <w:p>
      <w:pPr>
        <w:pStyle w:val="20"/>
        <w:numPr>
          <w:ilvl w:val="1"/>
          <w:numId w:val="1"/>
        </w:numPr>
        <w:spacing w:line="300" w:lineRule="exact"/>
        <w:ind w:left="851" w:hanging="426" w:firstLineChars="0"/>
        <w:outlineLvl w:val="0"/>
        <w:rPr>
          <w:rFonts w:ascii="宋体" w:hAnsi="宋体"/>
          <w:sz w:val="24"/>
          <w:szCs w:val="24"/>
        </w:rPr>
      </w:pPr>
      <w:bookmarkStart w:id="3" w:name="合同数量"/>
      <w:r>
        <w:rPr>
          <w:rFonts w:hint="eastAsia" w:ascii="宋体" w:hAnsi="宋体"/>
          <w:sz w:val="24"/>
          <w:szCs w:val="24"/>
        </w:rPr>
        <w:t>合同</w:t>
      </w:r>
      <w:r>
        <w:rPr>
          <w:rFonts w:ascii="宋体" w:hAnsi="宋体"/>
          <w:sz w:val="24"/>
          <w:szCs w:val="24"/>
        </w:rPr>
        <w:t>数量</w:t>
      </w:r>
      <w:r>
        <w:rPr>
          <w:rFonts w:ascii="宋体" w:hAnsi="宋体"/>
          <w:sz w:val="24"/>
          <w:szCs w:val="24"/>
          <w:highlight w:val="cyan"/>
        </w:rPr>
        <w:t>：1</w:t>
      </w:r>
      <w:r>
        <w:rPr>
          <w:rFonts w:hint="eastAsia" w:ascii="宋体" w:hAnsi="宋体"/>
          <w:sz w:val="24"/>
          <w:szCs w:val="24"/>
          <w:highlight w:val="cyan"/>
        </w:rPr>
        <w:t>船，共</w:t>
      </w:r>
      <w:r>
        <w:rPr>
          <w:rFonts w:hint="eastAsia" w:ascii="宋体" w:hAnsi="宋体"/>
          <w:sz w:val="24"/>
          <w:szCs w:val="24"/>
          <w:highlight w:val="cyan"/>
          <w:lang w:val="en-US" w:eastAsia="zh-CN"/>
        </w:rPr>
        <w:t>70</w:t>
      </w:r>
      <w:r>
        <w:rPr>
          <w:rFonts w:ascii="宋体" w:hAnsi="宋体"/>
          <w:sz w:val="24"/>
          <w:szCs w:val="24"/>
          <w:highlight w:val="cyan"/>
        </w:rPr>
        <w:t>000吨</w:t>
      </w:r>
      <w:bookmarkEnd w:id="3"/>
      <w:r>
        <w:rPr>
          <w:rFonts w:ascii="宋体" w:hAnsi="宋体"/>
          <w:sz w:val="24"/>
          <w:szCs w:val="24"/>
          <w:highlight w:val="cyan"/>
        </w:rPr>
        <w:t>±10%。</w:t>
      </w:r>
    </w:p>
    <w:p>
      <w:pPr>
        <w:pStyle w:val="20"/>
        <w:numPr>
          <w:ilvl w:val="1"/>
          <w:numId w:val="1"/>
        </w:numPr>
        <w:spacing w:line="300" w:lineRule="exact"/>
        <w:ind w:left="851" w:hanging="426" w:firstLineChars="0"/>
        <w:outlineLvl w:val="0"/>
        <w:rPr>
          <w:rFonts w:ascii="宋体" w:hAnsi="宋体"/>
          <w:sz w:val="24"/>
          <w:szCs w:val="24"/>
        </w:rPr>
      </w:pPr>
      <w:r>
        <w:rPr>
          <w:rFonts w:ascii="宋体" w:hAnsi="宋体"/>
          <w:sz w:val="24"/>
          <w:szCs w:val="24"/>
        </w:rPr>
        <w:t>船名/航次：</w:t>
      </w:r>
      <w:r>
        <w:rPr>
          <w:rStyle w:val="40"/>
        </w:rPr>
        <w:t>见“附件一：船舶信息”。</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质量标准</w:t>
      </w:r>
    </w:p>
    <w:p>
      <w:pPr>
        <w:pStyle w:val="20"/>
        <w:numPr>
          <w:ilvl w:val="1"/>
          <w:numId w:val="1"/>
        </w:numPr>
        <w:spacing w:line="300" w:lineRule="exact"/>
        <w:ind w:left="851" w:hanging="426" w:firstLineChars="0"/>
        <w:outlineLvl w:val="0"/>
        <w:rPr>
          <w:rFonts w:ascii="宋体" w:hAnsi="宋体"/>
          <w:sz w:val="24"/>
          <w:szCs w:val="24"/>
        </w:rPr>
      </w:pPr>
      <w:bookmarkStart w:id="4" w:name="标准规格"/>
      <w:r>
        <w:rPr>
          <w:rFonts w:ascii="宋体" w:hAnsi="宋体"/>
          <w:sz w:val="24"/>
          <w:szCs w:val="24"/>
        </w:rPr>
        <w:t>标准规格</w:t>
      </w:r>
    </w:p>
    <w:tbl>
      <w:tblPr>
        <w:tblStyle w:val="14"/>
        <w:tblW w:w="83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2428"/>
        <w:gridCol w:w="1064"/>
        <w:gridCol w:w="1063"/>
        <w:gridCol w:w="1091"/>
        <w:gridCol w:w="805"/>
        <w:gridCol w:w="188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rPr>
            </w:pPr>
            <w:r>
              <w:rPr>
                <w:rFonts w:ascii="宋体" w:hAnsi="宋体" w:cs="宋体"/>
                <w:kern w:val="0"/>
                <w:sz w:val="24"/>
                <w:szCs w:val="24"/>
              </w:rPr>
              <w:t>指标名称</w:t>
            </w:r>
          </w:p>
        </w:tc>
        <w:tc>
          <w:tcPr>
            <w:tcW w:w="2127" w:type="dxa"/>
            <w:gridSpan w:val="2"/>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rPr>
            </w:pPr>
            <w:r>
              <w:rPr>
                <w:rFonts w:ascii="宋体" w:hAnsi="宋体" w:cs="宋体"/>
                <w:kern w:val="0"/>
                <w:sz w:val="24"/>
                <w:szCs w:val="24"/>
              </w:rPr>
              <w:t>典型值</w:t>
            </w:r>
          </w:p>
        </w:tc>
        <w:tc>
          <w:tcPr>
            <w:tcW w:w="1896" w:type="dxa"/>
            <w:gridSpan w:val="2"/>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rPr>
            </w:pPr>
            <w:r>
              <w:rPr>
                <w:rFonts w:ascii="宋体" w:hAnsi="宋体" w:cs="宋体"/>
                <w:kern w:val="0"/>
                <w:sz w:val="24"/>
                <w:szCs w:val="24"/>
              </w:rPr>
              <w:t>拒收值</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rPr>
            </w:pPr>
            <w:r>
              <w:rPr>
                <w:rFonts w:ascii="宋体" w:hAnsi="宋体" w:cs="宋体"/>
                <w:kern w:val="0"/>
                <w:sz w:val="24"/>
                <w:szCs w:val="24"/>
              </w:rPr>
              <w:t>单位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全水</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Calibri" w:hAnsi="Calibri" w:eastAsia="宋体"/>
                <w:szCs w:val="24"/>
                <w:highlight w:val="cyan"/>
                <w:lang w:eastAsia="zh-CN"/>
              </w:rPr>
            </w:pPr>
            <w:r>
              <w:rPr>
                <w:rFonts w:hint="eastAsia" w:ascii="宋体" w:hAnsi="宋体" w:cs="宋体"/>
                <w:kern w:val="0"/>
                <w:sz w:val="24"/>
                <w:szCs w:val="24"/>
                <w:highlight w:val="cyan"/>
                <w:lang w:val="en-US" w:eastAsia="zh-CN"/>
              </w:rPr>
              <w:t>45</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灰分（</w:t>
            </w:r>
            <w:r>
              <w:rPr>
                <w:rFonts w:hint="eastAsia" w:ascii="宋体" w:hAnsi="宋体" w:cs="宋体"/>
                <w:kern w:val="0"/>
                <w:sz w:val="24"/>
                <w:szCs w:val="24"/>
                <w:highlight w:val="cyan"/>
                <w:lang w:eastAsia="zh-CN"/>
              </w:rPr>
              <w:t>空干</w:t>
            </w:r>
            <w:r>
              <w:rPr>
                <w:rFonts w:ascii="宋体" w:hAnsi="宋体" w:cs="宋体"/>
                <w:kern w:val="0"/>
                <w:sz w:val="24"/>
                <w:szCs w:val="24"/>
                <w:highlight w:val="cyan"/>
              </w:rPr>
              <w:t>基）</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Calibri" w:hAnsi="Calibri" w:eastAsia="宋体"/>
                <w:szCs w:val="24"/>
                <w:highlight w:val="cyan"/>
                <w:lang w:eastAsia="zh-CN"/>
              </w:rPr>
            </w:pPr>
            <w:r>
              <w:rPr>
                <w:rFonts w:hint="eastAsia" w:ascii="宋体" w:hAnsi="宋体" w:cs="宋体"/>
                <w:kern w:val="0"/>
                <w:sz w:val="24"/>
                <w:szCs w:val="24"/>
                <w:highlight w:val="cyan"/>
                <w:lang w:val="en-US" w:eastAsia="zh-CN"/>
              </w:rPr>
              <w:t>9</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Calibri" w:hAnsi="Calibri" w:eastAsia="宋体"/>
                <w:szCs w:val="24"/>
                <w:highlight w:val="cyan"/>
                <w:lang w:eastAsia="zh-CN"/>
              </w:rPr>
            </w:pPr>
            <w:r>
              <w:rPr>
                <w:rFonts w:hint="eastAsia" w:ascii="宋体" w:hAnsi="宋体" w:cs="宋体"/>
                <w:kern w:val="0"/>
                <w:sz w:val="24"/>
                <w:szCs w:val="24"/>
                <w:highlight w:val="cyan"/>
                <w:lang w:val="en-US" w:eastAsia="zh-CN"/>
              </w:rPr>
              <w:t>11</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挥发份（</w:t>
            </w:r>
            <w:r>
              <w:rPr>
                <w:rFonts w:hint="eastAsia" w:ascii="宋体" w:hAnsi="宋体" w:cs="宋体"/>
                <w:kern w:val="0"/>
                <w:sz w:val="24"/>
                <w:szCs w:val="24"/>
                <w:highlight w:val="cyan"/>
              </w:rPr>
              <w:t>空干</w:t>
            </w:r>
            <w:r>
              <w:rPr>
                <w:rFonts w:ascii="宋体" w:hAnsi="宋体" w:cs="宋体"/>
                <w:kern w:val="0"/>
                <w:sz w:val="24"/>
                <w:szCs w:val="24"/>
                <w:highlight w:val="cyan"/>
              </w:rPr>
              <w:t>基）</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jc w:val="center"/>
              <w:rPr>
                <w:rFonts w:ascii="宋体" w:hAnsi="Calibri"/>
                <w:sz w:val="24"/>
                <w:szCs w:val="24"/>
                <w:highlight w:val="cyan"/>
              </w:rPr>
            </w:pP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Calibri" w:hAnsi="Calibri" w:eastAsia="宋体"/>
                <w:szCs w:val="24"/>
                <w:highlight w:val="cyan"/>
                <w:lang w:eastAsia="zh-CN"/>
              </w:rPr>
            </w:pPr>
            <w:r>
              <w:rPr>
                <w:rFonts w:hint="eastAsia" w:ascii="宋体" w:hAnsi="宋体" w:cs="宋体"/>
                <w:kern w:val="0"/>
                <w:sz w:val="24"/>
                <w:szCs w:val="24"/>
                <w:highlight w:val="cyan"/>
                <w:lang w:val="en-US" w:eastAsia="zh-CN"/>
              </w:rPr>
              <w:t>45</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硫分（</w:t>
            </w:r>
            <w:r>
              <w:rPr>
                <w:rFonts w:hint="eastAsia" w:ascii="宋体" w:hAnsi="宋体" w:cs="宋体"/>
                <w:kern w:val="0"/>
                <w:sz w:val="24"/>
                <w:szCs w:val="24"/>
                <w:highlight w:val="cyan"/>
                <w:lang w:eastAsia="zh-CN"/>
              </w:rPr>
              <w:t>空干</w:t>
            </w:r>
            <w:r>
              <w:rPr>
                <w:rFonts w:hint="eastAsia" w:ascii="宋体" w:hAnsi="宋体" w:cs="宋体"/>
                <w:kern w:val="0"/>
                <w:sz w:val="24"/>
                <w:szCs w:val="24"/>
                <w:highlight w:val="cyan"/>
              </w:rPr>
              <w:t>基</w:t>
            </w:r>
            <w:r>
              <w:rPr>
                <w:rFonts w:ascii="宋体" w:hAnsi="宋体" w:cs="宋体"/>
                <w:kern w:val="0"/>
                <w:sz w:val="24"/>
                <w:szCs w:val="24"/>
                <w:highlight w:val="cyan"/>
              </w:rPr>
              <w:t>）</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hint="eastAsia" w:ascii="宋体" w:hAnsi="宋体" w:cs="宋体"/>
                <w:kern w:val="0"/>
                <w:sz w:val="24"/>
                <w:szCs w:val="24"/>
                <w:highlight w:val="cyan"/>
                <w:lang w:val="en-US" w:eastAsia="zh-CN"/>
              </w:rPr>
              <w:t>0.5</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hint="eastAsia" w:ascii="宋体" w:hAnsi="宋体" w:cs="宋体"/>
                <w:kern w:val="0"/>
                <w:sz w:val="24"/>
                <w:szCs w:val="24"/>
                <w:highlight w:val="cyan"/>
              </w:rPr>
              <w:t>0.</w:t>
            </w:r>
            <w:r>
              <w:rPr>
                <w:rFonts w:hint="eastAsia" w:ascii="宋体" w:hAnsi="宋体" w:cs="宋体"/>
                <w:kern w:val="0"/>
                <w:sz w:val="24"/>
                <w:szCs w:val="24"/>
                <w:highlight w:val="cyan"/>
                <w:lang w:val="en-US" w:eastAsia="zh-CN"/>
              </w:rPr>
              <w:t>7</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发热量（收到基低位）</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Calibri" w:hAnsi="Calibri" w:eastAsia="宋体"/>
                <w:szCs w:val="24"/>
                <w:highlight w:val="cyan"/>
                <w:lang w:eastAsia="zh-CN"/>
              </w:rPr>
            </w:pPr>
            <w:r>
              <w:rPr>
                <w:rFonts w:hint="eastAsia" w:ascii="Calibri" w:hAnsi="Calibri"/>
                <w:color w:val="000000"/>
                <w:szCs w:val="24"/>
                <w:highlight w:val="cyan"/>
                <w:lang w:val="en-US" w:eastAsia="zh-CN"/>
              </w:rPr>
              <w:t>3400</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Calibri" w:hAnsi="Calibri" w:eastAsia="宋体"/>
                <w:szCs w:val="24"/>
                <w:highlight w:val="cyan"/>
                <w:lang w:eastAsia="zh-CN"/>
              </w:rPr>
            </w:pPr>
            <w:r>
              <w:rPr>
                <w:rFonts w:hint="eastAsia" w:ascii="宋体" w:hAnsi="宋体" w:cs="宋体"/>
                <w:kern w:val="0"/>
                <w:sz w:val="24"/>
                <w:szCs w:val="24"/>
                <w:highlight w:val="cyan"/>
                <w:lang w:val="en-US" w:eastAsia="zh-CN"/>
              </w:rPr>
              <w:t>3200</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kcal/kg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灰熔点（软化温度）</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11</w:t>
            </w:r>
            <w:r>
              <w:rPr>
                <w:rFonts w:hint="eastAsia" w:ascii="宋体" w:hAnsi="宋体" w:cs="宋体"/>
                <w:kern w:val="0"/>
                <w:sz w:val="24"/>
                <w:szCs w:val="24"/>
                <w:highlight w:val="cyan"/>
              </w:rPr>
              <w:t>5</w:t>
            </w:r>
            <w:r>
              <w:rPr>
                <w:rFonts w:ascii="宋体" w:hAnsi="宋体" w:cs="宋体"/>
                <w:kern w:val="0"/>
                <w:sz w:val="24"/>
                <w:szCs w:val="24"/>
                <w:highlight w:val="cyan"/>
              </w:rPr>
              <w:t>0</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N/A</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粒度（0-50mm）</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jc w:val="center"/>
              <w:rPr>
                <w:rFonts w:ascii="宋体" w:hAnsi="Calibri"/>
                <w:sz w:val="24"/>
                <w:szCs w:val="24"/>
                <w:highlight w:val="cyan"/>
              </w:rPr>
            </w:pP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hint="eastAsia" w:ascii="宋体" w:hAnsi="宋体" w:cs="宋体"/>
                <w:kern w:val="0"/>
                <w:sz w:val="24"/>
                <w:szCs w:val="24"/>
                <w:highlight w:val="cyan"/>
              </w:rPr>
              <w:t>90</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N/A</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HGI</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jc w:val="center"/>
              <w:rPr>
                <w:rFonts w:ascii="宋体" w:hAnsi="Calibri"/>
                <w:sz w:val="24"/>
                <w:szCs w:val="24"/>
                <w:highlight w:val="cyan"/>
              </w:rPr>
            </w:pP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hint="eastAsia" w:ascii="Calibri" w:hAnsi="Calibri" w:eastAsia="宋体"/>
                <w:szCs w:val="24"/>
                <w:highlight w:val="cyan"/>
                <w:lang w:eastAsia="zh-CN"/>
              </w:rPr>
            </w:pPr>
            <w:r>
              <w:rPr>
                <w:rFonts w:hint="eastAsia" w:ascii="宋体" w:hAnsi="宋体" w:cs="宋体"/>
                <w:kern w:val="0"/>
                <w:sz w:val="24"/>
                <w:szCs w:val="24"/>
                <w:highlight w:val="cyan"/>
                <w:lang w:val="en-US" w:eastAsia="zh-CN"/>
              </w:rPr>
              <w:t>45</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jc w:val="center"/>
              <w:rPr>
                <w:rFonts w:ascii="宋体" w:hAnsi="Calibri"/>
                <w:sz w:val="24"/>
                <w:szCs w:val="24"/>
                <w:highlight w:val="cyan"/>
              </w:rPr>
            </w:pP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N/A</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jc w:val="center"/>
              <w:rPr>
                <w:rFonts w:ascii="宋体" w:hAnsi="Calibri"/>
                <w:sz w:val="24"/>
                <w:szCs w:val="24"/>
                <w:highlight w:val="cyan"/>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氯（Cld）</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0.3</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0.3</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氟（Fd）</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hint="eastAsia" w:ascii="宋体" w:hAnsi="宋体" w:cs="宋体"/>
                <w:kern w:val="0"/>
                <w:sz w:val="24"/>
                <w:szCs w:val="24"/>
                <w:highlight w:val="cyan"/>
              </w:rPr>
              <w:t>150</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200</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μg/g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磷（Pd）</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0.15</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0.15</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50"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汞（Hgd）</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0.6</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0.6</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μg/g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64" w:hRule="atLeast"/>
        </w:trPr>
        <w:tc>
          <w:tcPr>
            <w:tcW w:w="2428"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砷（Asd）</w:t>
            </w:r>
          </w:p>
        </w:tc>
        <w:tc>
          <w:tcPr>
            <w:tcW w:w="1064"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1063"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80</w:t>
            </w:r>
          </w:p>
        </w:tc>
        <w:tc>
          <w:tcPr>
            <w:tcW w:w="1091"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w:t>
            </w:r>
          </w:p>
        </w:tc>
        <w:tc>
          <w:tcPr>
            <w:tcW w:w="805"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80</w:t>
            </w:r>
          </w:p>
        </w:tc>
        <w:tc>
          <w:tcPr>
            <w:tcW w:w="1887" w:type="dxa"/>
            <w:tcBorders>
              <w:top w:val="outset" w:color="auto" w:sz="6" w:space="0"/>
              <w:left w:val="outset" w:color="auto" w:sz="6" w:space="0"/>
              <w:bottom w:val="outset" w:color="auto" w:sz="6" w:space="0"/>
              <w:right w:val="outset" w:color="auto" w:sz="6" w:space="0"/>
            </w:tcBorders>
            <w:shd w:val="clear" w:color="auto" w:fill="auto"/>
            <w:vAlign w:val="center"/>
          </w:tcPr>
          <w:p>
            <w:pPr>
              <w:widowControl/>
              <w:jc w:val="center"/>
              <w:rPr>
                <w:rFonts w:ascii="Calibri" w:hAnsi="Calibri"/>
                <w:szCs w:val="24"/>
                <w:highlight w:val="cyan"/>
              </w:rPr>
            </w:pPr>
            <w:r>
              <w:rPr>
                <w:rFonts w:ascii="宋体" w:hAnsi="宋体" w:cs="宋体"/>
                <w:kern w:val="0"/>
                <w:sz w:val="24"/>
                <w:szCs w:val="24"/>
                <w:highlight w:val="cyan"/>
              </w:rPr>
              <w:t>μg/g</w:t>
            </w:r>
          </w:p>
        </w:tc>
      </w:tr>
    </w:tbl>
    <w:p>
      <w:pPr>
        <w:spacing w:line="300" w:lineRule="exact"/>
        <w:ind w:left="425"/>
        <w:outlineLvl w:val="0"/>
        <w:rPr>
          <w:rFonts w:hint="eastAsia" w:ascii="宋体" w:hAnsi="宋体"/>
          <w:sz w:val="24"/>
          <w:szCs w:val="24"/>
        </w:rPr>
      </w:pPr>
    </w:p>
    <w:bookmarkEnd w:id="4"/>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卸货港</w:t>
      </w:r>
    </w:p>
    <w:p>
      <w:pPr>
        <w:spacing w:line="300" w:lineRule="exact"/>
        <w:ind w:firstLine="420"/>
        <w:rPr>
          <w:rFonts w:ascii="宋体" w:hAnsi="宋体"/>
          <w:sz w:val="24"/>
          <w:szCs w:val="24"/>
        </w:rPr>
      </w:pPr>
      <w:r>
        <w:rPr>
          <w:rFonts w:ascii="宋体" w:hAnsi="宋体"/>
          <w:sz w:val="24"/>
          <w:szCs w:val="24"/>
        </w:rPr>
        <w:t>卸货港：</w:t>
      </w:r>
      <w:r>
        <w:rPr>
          <w:rFonts w:hint="eastAsia" w:ascii="宋体" w:hAnsi="宋体"/>
          <w:sz w:val="24"/>
          <w:szCs w:val="24"/>
        </w:rPr>
        <w:t>锦州港。</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收货人、交货地点</w:t>
      </w:r>
      <w:r>
        <w:rPr>
          <w:rFonts w:hint="eastAsia" w:ascii="宋体" w:hAnsi="宋体"/>
          <w:b/>
          <w:bCs/>
          <w:sz w:val="24"/>
          <w:szCs w:val="24"/>
        </w:rPr>
        <w:t>及交货方式</w:t>
      </w:r>
    </w:p>
    <w:p>
      <w:pPr>
        <w:ind w:firstLine="240" w:firstLineChars="100"/>
        <w:rPr>
          <w:rFonts w:ascii="宋体" w:hAnsi="宋体"/>
          <w:sz w:val="24"/>
          <w:szCs w:val="24"/>
          <w:highlight w:val="yellow"/>
        </w:rPr>
      </w:pPr>
      <w:r>
        <w:rPr>
          <w:rFonts w:hint="eastAsia" w:ascii="宋体" w:hAnsi="宋体"/>
          <w:sz w:val="24"/>
          <w:szCs w:val="24"/>
          <w:lang w:val="en-US" w:eastAsia="zh-CN"/>
        </w:rPr>
        <w:t>5.1</w:t>
      </w:r>
      <w:r>
        <w:rPr>
          <w:rFonts w:ascii="宋体" w:hAnsi="宋体"/>
          <w:sz w:val="24"/>
          <w:szCs w:val="24"/>
        </w:rPr>
        <w:t>收货人：</w:t>
      </w:r>
      <w:r>
        <w:rPr>
          <w:rFonts w:hint="eastAsia" w:ascii="宋体" w:hAnsi="宋体"/>
          <w:sz w:val="24"/>
          <w:szCs w:val="24"/>
        </w:rPr>
        <w:t>辽宁大唐国际新能源有限公司锦州热电分公司</w:t>
      </w:r>
    </w:p>
    <w:p>
      <w:pPr>
        <w:pStyle w:val="20"/>
        <w:numPr>
          <w:ilvl w:val="0"/>
          <w:numId w:val="0"/>
        </w:numPr>
        <w:spacing w:line="300" w:lineRule="exact"/>
        <w:ind w:left="425" w:leftChars="0"/>
        <w:outlineLvl w:val="0"/>
        <w:rPr>
          <w:rFonts w:ascii="宋体" w:hAnsi="宋体"/>
          <w:sz w:val="24"/>
          <w:szCs w:val="24"/>
        </w:rPr>
      </w:pPr>
      <w:r>
        <w:rPr>
          <w:rFonts w:hint="eastAsia" w:ascii="宋体" w:hAnsi="宋体"/>
          <w:sz w:val="24"/>
          <w:szCs w:val="24"/>
          <w:lang w:val="en-US" w:eastAsia="zh-CN"/>
        </w:rPr>
        <w:t>5.2</w:t>
      </w:r>
      <w:r>
        <w:rPr>
          <w:rFonts w:ascii="宋体" w:hAnsi="宋体"/>
          <w:sz w:val="24"/>
          <w:szCs w:val="24"/>
        </w:rPr>
        <w:t>交货地点（即本合同履约地点）：</w:t>
      </w:r>
      <w:r>
        <w:rPr>
          <w:rFonts w:hint="eastAsia" w:ascii="宋体" w:hAnsi="宋体"/>
          <w:sz w:val="24"/>
          <w:szCs w:val="24"/>
        </w:rPr>
        <w:t>锦州港。</w:t>
      </w:r>
    </w:p>
    <w:p>
      <w:pPr>
        <w:pStyle w:val="20"/>
        <w:numPr>
          <w:ilvl w:val="0"/>
          <w:numId w:val="0"/>
        </w:numPr>
        <w:spacing w:line="300" w:lineRule="exact"/>
        <w:ind w:left="425" w:leftChars="0"/>
        <w:outlineLvl w:val="0"/>
        <w:rPr>
          <w:rFonts w:ascii="宋体" w:hAnsi="宋体"/>
          <w:sz w:val="24"/>
          <w:szCs w:val="24"/>
        </w:rPr>
      </w:pPr>
      <w:r>
        <w:rPr>
          <w:rFonts w:hint="eastAsia" w:ascii="宋体" w:hAnsi="宋体"/>
          <w:sz w:val="24"/>
          <w:szCs w:val="24"/>
          <w:lang w:val="en-US" w:eastAsia="zh-CN"/>
        </w:rPr>
        <w:t>5.3</w:t>
      </w:r>
      <w:r>
        <w:rPr>
          <w:rFonts w:hint="eastAsia" w:ascii="宋体" w:hAnsi="宋体"/>
          <w:sz w:val="24"/>
          <w:szCs w:val="24"/>
        </w:rPr>
        <w:t>交货方式：卸货港舱底交货。</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验收与数量、质量的确定</w:t>
      </w:r>
    </w:p>
    <w:p>
      <w:pPr>
        <w:pStyle w:val="20"/>
        <w:numPr>
          <w:ilvl w:val="1"/>
          <w:numId w:val="1"/>
        </w:numPr>
        <w:spacing w:line="300" w:lineRule="exact"/>
        <w:ind w:left="0" w:firstLine="425" w:firstLineChars="0"/>
        <w:outlineLvl w:val="0"/>
        <w:rPr>
          <w:rFonts w:ascii="宋体" w:hAnsi="宋体"/>
          <w:sz w:val="24"/>
          <w:szCs w:val="24"/>
        </w:rPr>
      </w:pPr>
      <w:bookmarkStart w:id="5" w:name="检验机构"/>
      <w:bookmarkEnd w:id="5"/>
      <w:r>
        <w:rPr>
          <w:rFonts w:ascii="宋体" w:hAnsi="宋体"/>
          <w:sz w:val="24"/>
          <w:szCs w:val="24"/>
        </w:rPr>
        <w:t>检验机构</w:t>
      </w:r>
    </w:p>
    <w:p>
      <w:pPr>
        <w:pStyle w:val="20"/>
        <w:numPr>
          <w:ilvl w:val="2"/>
          <w:numId w:val="1"/>
        </w:numPr>
        <w:tabs>
          <w:tab w:val="left" w:pos="1560"/>
        </w:tabs>
        <w:ind w:left="425" w:firstLine="425" w:firstLineChars="0"/>
        <w:outlineLvl w:val="0"/>
        <w:rPr>
          <w:rFonts w:ascii="宋体" w:hAnsi="宋体"/>
          <w:sz w:val="24"/>
          <w:szCs w:val="24"/>
        </w:rPr>
      </w:pPr>
      <w:r>
        <w:rPr>
          <w:rFonts w:hint="eastAsia" w:ascii="宋体" w:hAnsi="宋体"/>
          <w:sz w:val="24"/>
          <w:szCs w:val="24"/>
        </w:rPr>
        <w:t>质量检验机构：</w:t>
      </w:r>
      <w:r>
        <w:rPr>
          <w:rFonts w:ascii="宋体" w:hAnsi="宋体"/>
          <w:sz w:val="24"/>
          <w:szCs w:val="24"/>
        </w:rPr>
        <w:t>双方同意</w:t>
      </w:r>
      <w:r>
        <w:rPr>
          <w:rFonts w:hint="eastAsia" w:ascii="宋体" w:hAnsi="宋体"/>
          <w:sz w:val="24"/>
          <w:szCs w:val="24"/>
        </w:rPr>
        <w:t>以</w:t>
      </w:r>
      <w:r>
        <w:rPr>
          <w:rFonts w:ascii="宋体" w:hAnsi="宋体"/>
          <w:sz w:val="24"/>
          <w:szCs w:val="24"/>
        </w:rPr>
        <w:t>卸货港</w:t>
      </w:r>
      <w:r>
        <w:fldChar w:fldCharType="begin"/>
      </w:r>
      <w:r>
        <w:instrText xml:space="preserve"> HYPERLINK "http://10.81.80.81/Agreement/control/ViewOppositeParty?processInstanceId=42626968&amp;partyId=l5utFMv4jOXR3wU17XG" \o "合同主体名称" </w:instrText>
      </w:r>
      <w:r>
        <w:fldChar w:fldCharType="separate"/>
      </w:r>
      <w:r>
        <w:rPr>
          <w:rStyle w:val="30"/>
          <w:rFonts w:ascii="宋体" w:hAnsi="宋体"/>
        </w:rPr>
        <w:t>中国检验认证集团</w:t>
      </w:r>
      <w:r>
        <w:rPr>
          <w:rStyle w:val="30"/>
          <w:rFonts w:hint="eastAsia" w:ascii="宋体" w:hAnsi="宋体"/>
        </w:rPr>
        <w:t>(CCIC)</w:t>
      </w:r>
      <w:r>
        <w:rPr>
          <w:rStyle w:val="30"/>
          <w:rFonts w:hint="eastAsia" w:ascii="宋体" w:hAnsi="宋体"/>
        </w:rPr>
        <w:fldChar w:fldCharType="end"/>
      </w:r>
      <w:r>
        <w:rPr>
          <w:rFonts w:ascii="宋体" w:hAnsi="宋体"/>
          <w:sz w:val="24"/>
          <w:szCs w:val="24"/>
        </w:rPr>
        <w:t>出具的质量</w:t>
      </w:r>
      <w:r>
        <w:rPr>
          <w:rFonts w:hint="eastAsia" w:ascii="宋体" w:hAnsi="宋体"/>
          <w:sz w:val="24"/>
          <w:szCs w:val="24"/>
        </w:rPr>
        <w:t>或品质</w:t>
      </w:r>
      <w:r>
        <w:rPr>
          <w:rFonts w:ascii="宋体" w:hAnsi="宋体"/>
          <w:sz w:val="24"/>
          <w:szCs w:val="24"/>
        </w:rPr>
        <w:t>证书</w:t>
      </w:r>
      <w:r>
        <w:rPr>
          <w:rFonts w:hint="eastAsia" w:ascii="宋体" w:hAnsi="宋体"/>
          <w:sz w:val="24"/>
          <w:szCs w:val="24"/>
        </w:rPr>
        <w:t>作为</w:t>
      </w:r>
      <w:r>
        <w:rPr>
          <w:rFonts w:ascii="宋体" w:hAnsi="宋体"/>
          <w:sz w:val="24"/>
          <w:szCs w:val="24"/>
        </w:rPr>
        <w:t>合同货物验收、结算之依据</w:t>
      </w:r>
      <w:r>
        <w:rPr>
          <w:rFonts w:hint="eastAsia" w:ascii="宋体" w:hAnsi="宋体"/>
          <w:sz w:val="24"/>
          <w:szCs w:val="24"/>
        </w:rPr>
        <w:t>。若选择</w:t>
      </w:r>
      <w:r>
        <w:rPr>
          <w:rFonts w:ascii="宋体" w:hAnsi="宋体"/>
          <w:sz w:val="24"/>
          <w:szCs w:val="24"/>
        </w:rPr>
        <w:t>第三方独立检验机构</w:t>
      </w:r>
      <w:r>
        <w:rPr>
          <w:rFonts w:hint="eastAsia" w:ascii="宋体" w:hAnsi="宋体"/>
          <w:sz w:val="24"/>
          <w:szCs w:val="24"/>
        </w:rPr>
        <w:t>，</w:t>
      </w:r>
      <w:r>
        <w:rPr>
          <w:rFonts w:ascii="宋体" w:hAnsi="宋体"/>
          <w:sz w:val="24"/>
          <w:szCs w:val="24"/>
        </w:rPr>
        <w:t>应为甲方</w:t>
      </w:r>
      <w:r>
        <w:rPr>
          <w:rFonts w:hint="eastAsia" w:ascii="宋体" w:hAnsi="宋体"/>
          <w:sz w:val="24"/>
          <w:szCs w:val="24"/>
        </w:rPr>
        <w:t>事先通知或</w:t>
      </w:r>
      <w:r>
        <w:rPr>
          <w:rFonts w:ascii="宋体" w:hAnsi="宋体"/>
          <w:sz w:val="24"/>
          <w:szCs w:val="24"/>
        </w:rPr>
        <w:t>认可</w:t>
      </w:r>
      <w:r>
        <w:rPr>
          <w:rFonts w:hint="eastAsia" w:ascii="宋体" w:hAnsi="宋体"/>
          <w:sz w:val="24"/>
          <w:szCs w:val="24"/>
        </w:rPr>
        <w:t>的</w:t>
      </w:r>
      <w:r>
        <w:rPr>
          <w:rFonts w:ascii="宋体" w:hAnsi="宋体"/>
          <w:sz w:val="24"/>
          <w:szCs w:val="24"/>
        </w:rPr>
        <w:t>卸货港</w:t>
      </w:r>
      <w:r>
        <w:rPr>
          <w:rFonts w:hint="eastAsia" w:ascii="宋体" w:hAnsi="宋体"/>
          <w:sz w:val="24"/>
          <w:szCs w:val="24"/>
        </w:rPr>
        <w:t>当地分支机构或区域性</w:t>
      </w:r>
      <w:r>
        <w:rPr>
          <w:rFonts w:ascii="宋体" w:hAnsi="宋体"/>
          <w:sz w:val="24"/>
          <w:szCs w:val="24"/>
        </w:rPr>
        <w:t>分支机构。</w:t>
      </w:r>
    </w:p>
    <w:p>
      <w:pPr>
        <w:pStyle w:val="20"/>
        <w:numPr>
          <w:ilvl w:val="0"/>
          <w:numId w:val="0"/>
        </w:numPr>
        <w:tabs>
          <w:tab w:val="left" w:pos="1560"/>
        </w:tabs>
        <w:ind w:firstLine="960" w:firstLineChars="400"/>
        <w:outlineLvl w:val="0"/>
        <w:rPr>
          <w:rStyle w:val="30"/>
          <w:rFonts w:ascii="宋体" w:hAnsi="宋体"/>
          <w:szCs w:val="24"/>
          <w:highlight w:val="yellow"/>
          <w:u w:val="none"/>
        </w:rPr>
      </w:pPr>
      <w:r>
        <w:rPr>
          <w:rStyle w:val="30"/>
          <w:rFonts w:hint="eastAsia" w:ascii="宋体" w:hAnsi="宋体"/>
          <w:szCs w:val="24"/>
          <w:u w:val="none"/>
          <w:lang w:val="en-US" w:eastAsia="zh-CN"/>
        </w:rPr>
        <w:t>6.1.2</w:t>
      </w:r>
      <w:r>
        <w:rPr>
          <w:rStyle w:val="30"/>
          <w:rFonts w:hint="eastAsia" w:ascii="宋体" w:hAnsi="宋体"/>
          <w:szCs w:val="24"/>
          <w:u w:val="none"/>
        </w:rPr>
        <w:t>重量检验机构：</w:t>
      </w:r>
      <w:r>
        <w:rPr>
          <w:rFonts w:ascii="宋体" w:hAnsi="宋体"/>
          <w:sz w:val="24"/>
          <w:szCs w:val="24"/>
        </w:rPr>
        <w:t>双方同意</w:t>
      </w:r>
      <w:r>
        <w:rPr>
          <w:rFonts w:hint="eastAsia" w:ascii="宋体" w:hAnsi="宋体"/>
          <w:sz w:val="24"/>
          <w:szCs w:val="24"/>
        </w:rPr>
        <w:t>以</w:t>
      </w:r>
      <w:r>
        <w:rPr>
          <w:rFonts w:ascii="宋体" w:hAnsi="宋体"/>
          <w:sz w:val="24"/>
          <w:szCs w:val="24"/>
        </w:rPr>
        <w:t>卸货港</w:t>
      </w:r>
      <w:r>
        <w:fldChar w:fldCharType="begin"/>
      </w:r>
      <w:r>
        <w:instrText xml:space="preserve"> HYPERLINK "http://10.81.80.81/Agreement/control/ViewOppositeParty?processInstanceId=42626968&amp;partyId=l5utFMv4jOXR3wU17XG" \o "合同主体名称" </w:instrText>
      </w:r>
      <w:r>
        <w:fldChar w:fldCharType="separate"/>
      </w:r>
      <w:r>
        <w:rPr>
          <w:rStyle w:val="30"/>
          <w:rFonts w:ascii="宋体" w:hAnsi="宋体"/>
        </w:rPr>
        <w:t>中国检验认证集团</w:t>
      </w:r>
      <w:r>
        <w:rPr>
          <w:rStyle w:val="30"/>
          <w:rFonts w:hint="eastAsia" w:ascii="宋体" w:hAnsi="宋体"/>
        </w:rPr>
        <w:t>(CCIC)</w:t>
      </w:r>
      <w:r>
        <w:rPr>
          <w:rStyle w:val="30"/>
          <w:rFonts w:hint="eastAsia" w:ascii="宋体" w:hAnsi="宋体"/>
        </w:rPr>
        <w:fldChar w:fldCharType="end"/>
      </w:r>
      <w:r>
        <w:rPr>
          <w:rFonts w:ascii="宋体" w:hAnsi="宋体"/>
          <w:sz w:val="24"/>
          <w:szCs w:val="24"/>
        </w:rPr>
        <w:t>出具的</w:t>
      </w:r>
      <w:r>
        <w:rPr>
          <w:rFonts w:hint="eastAsia" w:ascii="宋体" w:hAnsi="宋体"/>
          <w:sz w:val="24"/>
          <w:szCs w:val="24"/>
        </w:rPr>
        <w:t>重量</w:t>
      </w:r>
      <w:r>
        <w:rPr>
          <w:rFonts w:ascii="宋体" w:hAnsi="宋体"/>
          <w:sz w:val="24"/>
          <w:szCs w:val="24"/>
        </w:rPr>
        <w:t>证书</w:t>
      </w:r>
      <w:r>
        <w:rPr>
          <w:rFonts w:hint="eastAsia" w:ascii="宋体" w:hAnsi="宋体"/>
          <w:sz w:val="24"/>
          <w:szCs w:val="24"/>
        </w:rPr>
        <w:t>作为</w:t>
      </w:r>
      <w:r>
        <w:rPr>
          <w:rFonts w:ascii="宋体" w:hAnsi="宋体"/>
          <w:sz w:val="24"/>
          <w:szCs w:val="24"/>
        </w:rPr>
        <w:t>合同货物验收、结算之依据</w:t>
      </w:r>
      <w:r>
        <w:rPr>
          <w:rFonts w:hint="eastAsia" w:ascii="宋体" w:hAnsi="宋体"/>
          <w:sz w:val="24"/>
          <w:szCs w:val="24"/>
        </w:rPr>
        <w:t>。</w:t>
      </w:r>
    </w:p>
    <w:p>
      <w:pPr>
        <w:pStyle w:val="20"/>
        <w:numPr>
          <w:ilvl w:val="1"/>
          <w:numId w:val="1"/>
        </w:numPr>
        <w:spacing w:line="300" w:lineRule="exact"/>
        <w:ind w:left="851" w:hanging="426" w:firstLineChars="0"/>
        <w:outlineLvl w:val="0"/>
        <w:rPr>
          <w:rFonts w:ascii="宋体" w:hAnsi="宋体"/>
          <w:sz w:val="24"/>
          <w:szCs w:val="24"/>
        </w:rPr>
      </w:pPr>
      <w:r>
        <w:rPr>
          <w:rFonts w:ascii="宋体" w:hAnsi="宋体"/>
          <w:sz w:val="24"/>
          <w:szCs w:val="24"/>
        </w:rPr>
        <w:t>检验费用：由乙方承担。</w:t>
      </w:r>
    </w:p>
    <w:p>
      <w:pPr>
        <w:pStyle w:val="20"/>
        <w:numPr>
          <w:ilvl w:val="1"/>
          <w:numId w:val="1"/>
        </w:numPr>
        <w:spacing w:line="300" w:lineRule="exact"/>
        <w:ind w:left="0" w:firstLine="425" w:firstLineChars="0"/>
        <w:outlineLvl w:val="0"/>
        <w:rPr>
          <w:rFonts w:ascii="宋体" w:hAnsi="宋体"/>
          <w:sz w:val="24"/>
          <w:szCs w:val="24"/>
        </w:rPr>
      </w:pPr>
      <w:r>
        <w:rPr>
          <w:rFonts w:hint="eastAsia" w:ascii="宋体" w:hAnsi="宋体"/>
          <w:sz w:val="24"/>
          <w:szCs w:val="24"/>
        </w:rPr>
        <w:t>异议和复检：</w:t>
      </w:r>
      <w:r>
        <w:rPr>
          <w:rFonts w:ascii="宋体" w:hAnsi="宋体"/>
          <w:sz w:val="24"/>
          <w:szCs w:val="24"/>
        </w:rPr>
        <w:t>若甲、乙任何一方对上述</w:t>
      </w:r>
      <w:r>
        <w:rPr>
          <w:rFonts w:hint="eastAsia" w:ascii="宋体" w:hAnsi="宋体"/>
          <w:sz w:val="24"/>
          <w:szCs w:val="24"/>
        </w:rPr>
        <w:t>质量</w:t>
      </w:r>
      <w:r>
        <w:rPr>
          <w:rFonts w:ascii="宋体" w:hAnsi="宋体"/>
          <w:sz w:val="24"/>
          <w:szCs w:val="24"/>
        </w:rPr>
        <w:t>检验结果</w:t>
      </w:r>
      <w:r>
        <w:rPr>
          <w:rFonts w:hint="eastAsia" w:ascii="宋体" w:hAnsi="宋体"/>
          <w:sz w:val="24"/>
          <w:szCs w:val="24"/>
        </w:rPr>
        <w:t>有</w:t>
      </w:r>
      <w:r>
        <w:rPr>
          <w:rFonts w:ascii="宋体" w:hAnsi="宋体"/>
          <w:sz w:val="24"/>
          <w:szCs w:val="24"/>
        </w:rPr>
        <w:t>异议，可在检验证书出具</w:t>
      </w:r>
      <w:r>
        <w:rPr>
          <w:rFonts w:hint="eastAsia" w:ascii="宋体" w:hAnsi="宋体"/>
          <w:sz w:val="24"/>
          <w:szCs w:val="24"/>
        </w:rPr>
        <w:t>日期</w:t>
      </w:r>
      <w:r>
        <w:rPr>
          <w:rFonts w:ascii="宋体" w:hAnsi="宋体"/>
          <w:sz w:val="24"/>
          <w:szCs w:val="24"/>
        </w:rPr>
        <w:t>后</w:t>
      </w:r>
      <w:r>
        <w:rPr>
          <w:rFonts w:ascii="宋体" w:hAnsi="宋体"/>
          <w:sz w:val="24"/>
          <w:szCs w:val="24"/>
          <w:u w:val="single"/>
        </w:rPr>
        <w:t>15</w:t>
      </w:r>
      <w:r>
        <w:rPr>
          <w:rFonts w:ascii="宋体" w:hAnsi="宋体"/>
          <w:sz w:val="24"/>
          <w:szCs w:val="24"/>
        </w:rPr>
        <w:t>个工作日内书面提出</w:t>
      </w:r>
      <w:r>
        <w:rPr>
          <w:rFonts w:hint="eastAsia" w:ascii="宋体" w:hAnsi="宋体"/>
          <w:sz w:val="24"/>
          <w:szCs w:val="24"/>
        </w:rPr>
        <w:t>复检</w:t>
      </w:r>
      <w:r>
        <w:rPr>
          <w:rFonts w:ascii="宋体" w:hAnsi="宋体"/>
          <w:sz w:val="24"/>
          <w:szCs w:val="24"/>
        </w:rPr>
        <w:t>申请，由甲、乙双方共同确认的</w:t>
      </w:r>
      <w:r>
        <w:rPr>
          <w:rFonts w:hint="eastAsia" w:ascii="宋体" w:hAnsi="宋体"/>
          <w:sz w:val="24"/>
          <w:szCs w:val="24"/>
        </w:rPr>
        <w:t>其他</w:t>
      </w:r>
      <w:r>
        <w:rPr>
          <w:rFonts w:ascii="宋体" w:hAnsi="宋体"/>
          <w:sz w:val="24"/>
          <w:szCs w:val="24"/>
        </w:rPr>
        <w:t>第三方检验机构对留存仲裁备样进行复检</w:t>
      </w:r>
      <w:r>
        <w:rPr>
          <w:rFonts w:hint="eastAsia" w:ascii="宋体" w:hAnsi="宋体"/>
          <w:sz w:val="24"/>
          <w:szCs w:val="24"/>
        </w:rPr>
        <w:t>。</w:t>
      </w:r>
      <w:r>
        <w:rPr>
          <w:rFonts w:ascii="宋体" w:hAnsi="宋体"/>
          <w:sz w:val="24"/>
          <w:szCs w:val="24"/>
        </w:rPr>
        <w:t>复检结果为最终结算依据，复检费用由提出异议方支付。</w:t>
      </w:r>
    </w:p>
    <w:p>
      <w:pPr>
        <w:pStyle w:val="20"/>
        <w:numPr>
          <w:ilvl w:val="1"/>
          <w:numId w:val="1"/>
        </w:numPr>
        <w:spacing w:line="300" w:lineRule="exact"/>
        <w:ind w:left="0" w:firstLine="425" w:firstLineChars="0"/>
        <w:outlineLvl w:val="0"/>
        <w:rPr>
          <w:rFonts w:ascii="宋体" w:hAnsi="宋体"/>
          <w:sz w:val="24"/>
          <w:szCs w:val="24"/>
        </w:rPr>
      </w:pPr>
      <w:r>
        <w:rPr>
          <w:rFonts w:hint="eastAsia" w:ascii="宋体" w:hAnsi="宋体"/>
          <w:sz w:val="24"/>
          <w:szCs w:val="24"/>
        </w:rPr>
        <w:t>在卸港进行质量和数量验收时，双方有权派代表在取样现场共同验收。任何一方未能派代表到场，视为认同验收结果并承认结算依据。</w:t>
      </w:r>
    </w:p>
    <w:p>
      <w:pPr>
        <w:pStyle w:val="20"/>
        <w:numPr>
          <w:ilvl w:val="1"/>
          <w:numId w:val="1"/>
        </w:numPr>
        <w:spacing w:line="300" w:lineRule="exact"/>
        <w:ind w:left="0" w:firstLine="425" w:firstLineChars="0"/>
        <w:outlineLvl w:val="0"/>
        <w:rPr>
          <w:rFonts w:ascii="宋体" w:hAnsi="宋体"/>
          <w:sz w:val="24"/>
          <w:szCs w:val="24"/>
        </w:rPr>
      </w:pPr>
      <w:bookmarkStart w:id="6" w:name="_Hlk80890253"/>
      <w:r>
        <w:rPr>
          <w:rFonts w:ascii="宋体" w:hAnsi="宋体"/>
          <w:sz w:val="24"/>
          <w:szCs w:val="24"/>
        </w:rPr>
        <w:t>装港证书：</w:t>
      </w:r>
      <w:bookmarkStart w:id="7" w:name="_Hlk80891393"/>
      <w:r>
        <w:rPr>
          <w:rFonts w:ascii="宋体" w:hAnsi="宋体"/>
          <w:sz w:val="24"/>
          <w:szCs w:val="24"/>
        </w:rPr>
        <w:t>乙方应在</w:t>
      </w:r>
      <w:r>
        <w:rPr>
          <w:rFonts w:hint="eastAsia" w:ascii="宋体" w:hAnsi="宋体"/>
          <w:sz w:val="24"/>
          <w:szCs w:val="24"/>
        </w:rPr>
        <w:t>船舶</w:t>
      </w:r>
      <w:r>
        <w:rPr>
          <w:rFonts w:ascii="宋体" w:hAnsi="宋体"/>
          <w:sz w:val="24"/>
          <w:szCs w:val="24"/>
        </w:rPr>
        <w:t>抵达卸货港前向甲方提供装货港第三方独立检验机构出具的质量和数量检验证书</w:t>
      </w:r>
      <w:r>
        <w:rPr>
          <w:rFonts w:hint="eastAsia" w:ascii="宋体" w:hAnsi="宋体"/>
          <w:sz w:val="24"/>
          <w:szCs w:val="24"/>
        </w:rPr>
        <w:t>（传真、扫描、复印件有效）</w:t>
      </w:r>
      <w:r>
        <w:rPr>
          <w:rFonts w:ascii="宋体" w:hAnsi="宋体"/>
          <w:sz w:val="24"/>
          <w:szCs w:val="24"/>
        </w:rPr>
        <w:t>，作为煤炭质量和重量的参考，但不作为合同结算依据。</w:t>
      </w:r>
      <w:bookmarkEnd w:id="7"/>
    </w:p>
    <w:bookmarkEnd w:id="6"/>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价格：</w:t>
      </w:r>
    </w:p>
    <w:p>
      <w:pPr>
        <w:pStyle w:val="20"/>
        <w:numPr>
          <w:ilvl w:val="1"/>
          <w:numId w:val="1"/>
        </w:numPr>
        <w:spacing w:line="300" w:lineRule="exact"/>
        <w:ind w:left="851" w:hanging="426" w:firstLineChars="0"/>
        <w:outlineLvl w:val="0"/>
        <w:rPr>
          <w:rFonts w:ascii="宋体" w:hAnsi="宋体"/>
          <w:sz w:val="24"/>
          <w:szCs w:val="24"/>
        </w:rPr>
      </w:pPr>
      <w:bookmarkStart w:id="8" w:name="合同价格"/>
      <w:r>
        <w:rPr>
          <w:rFonts w:hint="eastAsia" w:ascii="宋体" w:hAnsi="宋体"/>
          <w:sz w:val="24"/>
          <w:szCs w:val="24"/>
        </w:rPr>
        <w:t>基准价格</w:t>
      </w:r>
      <w:r>
        <w:rPr>
          <w:rFonts w:ascii="宋体" w:hAnsi="宋体"/>
          <w:sz w:val="24"/>
          <w:szCs w:val="24"/>
        </w:rPr>
        <w:t>：人民币</w:t>
      </w:r>
      <w:r>
        <w:rPr>
          <w:rStyle w:val="47"/>
          <w:rFonts w:hint="eastAsia"/>
          <w:highlight w:val="yellow"/>
        </w:rPr>
        <w:t>A</w:t>
      </w:r>
      <w:r>
        <w:rPr>
          <w:rFonts w:ascii="宋体" w:hAnsi="宋体"/>
          <w:sz w:val="24"/>
          <w:szCs w:val="24"/>
        </w:rPr>
        <w:t>元/吨</w:t>
      </w:r>
      <w:bookmarkEnd w:id="8"/>
      <w:r>
        <w:rPr>
          <w:rFonts w:ascii="宋体" w:hAnsi="宋体"/>
          <w:sz w:val="24"/>
          <w:szCs w:val="24"/>
        </w:rPr>
        <w:t>（卸货港一票含</w:t>
      </w:r>
      <w:r>
        <w:rPr>
          <w:rFonts w:hint="eastAsia" w:ascii="宋体" w:hAnsi="宋体"/>
          <w:sz w:val="24"/>
          <w:szCs w:val="24"/>
          <w:u w:val="single"/>
        </w:rPr>
        <w:t>1</w:t>
      </w:r>
      <w:r>
        <w:rPr>
          <w:rFonts w:ascii="宋体" w:hAnsi="宋体"/>
          <w:sz w:val="24"/>
          <w:szCs w:val="24"/>
          <w:u w:val="single"/>
        </w:rPr>
        <w:t>3</w:t>
      </w:r>
      <w:r>
        <w:rPr>
          <w:rFonts w:hint="eastAsia" w:ascii="宋体" w:hAnsi="宋体"/>
          <w:sz w:val="24"/>
          <w:szCs w:val="24"/>
          <w:u w:val="single"/>
        </w:rPr>
        <w:t>%</w:t>
      </w:r>
      <w:r>
        <w:rPr>
          <w:rFonts w:hint="eastAsia" w:ascii="宋体" w:hAnsi="宋体"/>
          <w:sz w:val="24"/>
          <w:szCs w:val="24"/>
        </w:rPr>
        <w:t>增值</w:t>
      </w:r>
      <w:r>
        <w:rPr>
          <w:rFonts w:ascii="宋体" w:hAnsi="宋体"/>
          <w:sz w:val="24"/>
          <w:szCs w:val="24"/>
        </w:rPr>
        <w:t>税）。</w:t>
      </w:r>
    </w:p>
    <w:p>
      <w:pPr>
        <w:pStyle w:val="20"/>
        <w:numPr>
          <w:ilvl w:val="1"/>
          <w:numId w:val="1"/>
        </w:numPr>
        <w:spacing w:line="300" w:lineRule="exact"/>
        <w:ind w:left="0" w:firstLine="425" w:firstLineChars="0"/>
        <w:outlineLvl w:val="0"/>
        <w:rPr>
          <w:rFonts w:ascii="宋体" w:hAnsi="宋体"/>
          <w:sz w:val="24"/>
          <w:szCs w:val="24"/>
        </w:rPr>
      </w:pPr>
      <w:r>
        <w:rPr>
          <w:rFonts w:hint="eastAsia" w:ascii="宋体" w:hAnsi="宋体"/>
          <w:sz w:val="24"/>
          <w:szCs w:val="24"/>
        </w:rPr>
        <w:t>结算价格=基准价格+质量调整价+其他因素调整价。结算价格的金额</w:t>
      </w:r>
      <w:r>
        <w:rPr>
          <w:rFonts w:ascii="宋体" w:hAnsi="宋体"/>
          <w:sz w:val="24"/>
          <w:szCs w:val="24"/>
        </w:rPr>
        <w:t>精确到小数点后2位</w:t>
      </w:r>
      <w:r>
        <w:rPr>
          <w:rFonts w:hint="eastAsia" w:ascii="宋体" w:hAnsi="宋体"/>
          <w:sz w:val="24"/>
          <w:szCs w:val="24"/>
        </w:rPr>
        <w:t>。</w:t>
      </w:r>
    </w:p>
    <w:p>
      <w:pPr>
        <w:pStyle w:val="20"/>
        <w:numPr>
          <w:ilvl w:val="1"/>
          <w:numId w:val="1"/>
        </w:numPr>
        <w:spacing w:line="300" w:lineRule="exact"/>
        <w:ind w:left="0" w:firstLine="425" w:firstLineChars="0"/>
        <w:outlineLvl w:val="0"/>
        <w:rPr>
          <w:rFonts w:ascii="宋体" w:hAnsi="宋体"/>
          <w:sz w:val="24"/>
          <w:szCs w:val="24"/>
        </w:rPr>
      </w:pPr>
      <w:r>
        <w:rPr>
          <w:rFonts w:hint="eastAsia" w:ascii="宋体" w:hAnsi="宋体"/>
          <w:sz w:val="24"/>
          <w:szCs w:val="24"/>
        </w:rPr>
        <w:t>质量调整价</w:t>
      </w:r>
      <w:r>
        <w:rPr>
          <w:rFonts w:ascii="宋体" w:hAnsi="宋体"/>
          <w:sz w:val="24"/>
          <w:szCs w:val="24"/>
        </w:rPr>
        <w:t>：质量指标以合同</w:t>
      </w:r>
      <w:r>
        <w:fldChar w:fldCharType="begin"/>
      </w:r>
      <w:r>
        <w:instrText xml:space="preserve"> HYPERLINK \l "标准规格" </w:instrText>
      </w:r>
      <w:r>
        <w:fldChar w:fldCharType="separate"/>
      </w:r>
      <w:r>
        <w:rPr>
          <w:rStyle w:val="13"/>
          <w:rFonts w:ascii="宋体" w:hAnsi="宋体"/>
          <w:color w:val="auto"/>
          <w:sz w:val="24"/>
          <w:szCs w:val="24"/>
        </w:rPr>
        <w:t>3.1</w:t>
      </w:r>
      <w:r>
        <w:rPr>
          <w:rStyle w:val="13"/>
          <w:rFonts w:ascii="宋体" w:hAnsi="宋体"/>
          <w:color w:val="auto"/>
          <w:sz w:val="24"/>
          <w:szCs w:val="24"/>
        </w:rPr>
        <w:fldChar w:fldCharType="end"/>
      </w:r>
      <w:r>
        <w:rPr>
          <w:rFonts w:ascii="宋体" w:hAnsi="宋体"/>
          <w:sz w:val="24"/>
          <w:szCs w:val="24"/>
        </w:rPr>
        <w:t>条约定的典型值为标准，按以下约定方式进行奖罚、调整后，计算结算价格：</w:t>
      </w:r>
    </w:p>
    <w:p>
      <w:pPr>
        <w:pStyle w:val="20"/>
        <w:numPr>
          <w:ilvl w:val="2"/>
          <w:numId w:val="1"/>
        </w:numPr>
        <w:tabs>
          <w:tab w:val="left" w:pos="1560"/>
        </w:tabs>
        <w:ind w:left="425" w:firstLine="425" w:firstLineChars="0"/>
        <w:outlineLvl w:val="0"/>
        <w:rPr>
          <w:rFonts w:ascii="宋体" w:hAnsi="宋体"/>
          <w:sz w:val="24"/>
          <w:szCs w:val="24"/>
        </w:rPr>
      </w:pPr>
      <w:r>
        <w:rPr>
          <w:rFonts w:ascii="宋体" w:hAnsi="宋体"/>
          <w:sz w:val="24"/>
          <w:szCs w:val="24"/>
        </w:rPr>
        <w:t>发热量奖罚：</w:t>
      </w:r>
    </w:p>
    <w:p>
      <w:pPr>
        <w:pStyle w:val="20"/>
        <w:numPr>
          <w:ilvl w:val="3"/>
          <w:numId w:val="1"/>
        </w:numPr>
        <w:tabs>
          <w:tab w:val="left" w:pos="1560"/>
          <w:tab w:val="left" w:pos="2268"/>
        </w:tabs>
        <w:ind w:left="851" w:firstLine="425" w:firstLineChars="0"/>
        <w:outlineLvl w:val="0"/>
        <w:rPr>
          <w:rFonts w:ascii="宋体" w:hAnsi="宋体"/>
          <w:sz w:val="24"/>
          <w:szCs w:val="24"/>
        </w:rPr>
      </w:pPr>
      <w:r>
        <w:rPr>
          <w:rFonts w:hint="eastAsia" w:ascii="宋体" w:hAnsi="宋体"/>
          <w:sz w:val="24"/>
          <w:szCs w:val="24"/>
        </w:rPr>
        <w:t>加价：</w:t>
      </w:r>
      <w:r>
        <w:rPr>
          <w:rFonts w:ascii="宋体" w:hAnsi="宋体"/>
          <w:sz w:val="24"/>
          <w:szCs w:val="24"/>
        </w:rPr>
        <w:t>当发热量（</w:t>
      </w:r>
      <w:r>
        <w:rPr>
          <w:i/>
          <w:sz w:val="24"/>
          <w:szCs w:val="24"/>
        </w:rPr>
        <w:t>Q</w:t>
      </w:r>
      <w:r>
        <w:rPr>
          <w:i/>
          <w:sz w:val="24"/>
          <w:szCs w:val="24"/>
          <w:vertAlign w:val="subscript"/>
        </w:rPr>
        <w:t>net,ar</w:t>
      </w:r>
      <w:r>
        <w:rPr>
          <w:rFonts w:ascii="宋体" w:hAnsi="宋体"/>
          <w:sz w:val="24"/>
          <w:szCs w:val="24"/>
        </w:rPr>
        <w:t>）</w:t>
      </w:r>
      <w:r>
        <w:rPr>
          <w:rFonts w:hint="eastAsia" w:ascii="宋体" w:hAnsi="宋体"/>
          <w:sz w:val="24"/>
          <w:szCs w:val="24"/>
        </w:rPr>
        <w:t>大于</w:t>
      </w:r>
      <w:r>
        <w:rPr>
          <w:rFonts w:ascii="宋体" w:hAnsi="宋体"/>
          <w:sz w:val="24"/>
          <w:szCs w:val="24"/>
        </w:rPr>
        <w:t>合同</w:t>
      </w:r>
      <w:r>
        <w:rPr>
          <w:rStyle w:val="13"/>
          <w:rFonts w:ascii="宋体" w:hAnsi="宋体"/>
          <w:color w:val="auto"/>
          <w:sz w:val="24"/>
          <w:szCs w:val="24"/>
        </w:rPr>
        <w:t>3.1</w:t>
      </w:r>
      <w:r>
        <w:rPr>
          <w:rFonts w:ascii="宋体" w:hAnsi="宋体"/>
          <w:sz w:val="24"/>
          <w:szCs w:val="24"/>
        </w:rPr>
        <w:t>条约定的典型值时，每100kcal/kg加价</w:t>
      </w:r>
      <m:oMath>
        <m:f>
          <m:fPr>
            <m:ctrlPr>
              <w:rPr>
                <w:rFonts w:ascii="Cambria Math" w:hAnsi="Cambria Math"/>
                <w:i/>
                <w:sz w:val="28"/>
                <w:szCs w:val="24"/>
              </w:rPr>
            </m:ctrlPr>
          </m:fPr>
          <m:num>
            <m:r>
              <w:rPr>
                <w:rFonts w:hint="eastAsia" w:ascii="Cambria Math" w:hAnsi="Cambria Math"/>
                <w:sz w:val="28"/>
                <w:szCs w:val="24"/>
              </w:rPr>
              <m:t>基准价格</m:t>
            </m:r>
            <m:ctrlPr>
              <w:rPr>
                <w:rFonts w:ascii="Cambria Math" w:hAnsi="Cambria Math"/>
                <w:i/>
                <w:sz w:val="28"/>
                <w:szCs w:val="24"/>
              </w:rPr>
            </m:ctrlPr>
          </m:num>
          <m:den>
            <m:r>
              <w:rPr>
                <w:rFonts w:ascii="Cambria Math" w:hAnsi="Cambria Math"/>
                <w:sz w:val="28"/>
                <w:szCs w:val="24"/>
              </w:rPr>
              <m:t>发热量典型值</m:t>
            </m:r>
            <m:ctrlPr>
              <w:rPr>
                <w:rFonts w:ascii="Cambria Math" w:hAnsi="Cambria Math"/>
                <w:i/>
                <w:sz w:val="28"/>
                <w:szCs w:val="24"/>
              </w:rPr>
            </m:ctrlPr>
          </m:den>
        </m:f>
      </m:oMath>
      <w:r>
        <w:rPr>
          <w:rFonts w:ascii="宋体" w:hAnsi="宋体"/>
          <w:iCs/>
          <w:sz w:val="24"/>
          <w:szCs w:val="24"/>
        </w:rPr>
        <w:t>×100元/吨</w:t>
      </w:r>
      <w:r>
        <w:rPr>
          <w:rFonts w:ascii="宋体" w:hAnsi="宋体"/>
          <w:sz w:val="24"/>
          <w:szCs w:val="24"/>
        </w:rPr>
        <w:t>，不足100kcal/kg的部分按比例调整</w:t>
      </w:r>
      <w:r>
        <w:rPr>
          <w:rFonts w:hint="eastAsia" w:ascii="宋体" w:hAnsi="宋体"/>
          <w:sz w:val="24"/>
          <w:szCs w:val="24"/>
        </w:rPr>
        <w:t>。发热量</w:t>
      </w:r>
      <w:r>
        <w:rPr>
          <w:rFonts w:ascii="宋体" w:hAnsi="宋体"/>
          <w:sz w:val="24"/>
          <w:szCs w:val="24"/>
        </w:rPr>
        <w:t>（</w:t>
      </w:r>
      <w:r>
        <w:rPr>
          <w:i/>
          <w:sz w:val="24"/>
          <w:szCs w:val="24"/>
        </w:rPr>
        <w:t>Q</w:t>
      </w:r>
      <w:r>
        <w:rPr>
          <w:i/>
          <w:sz w:val="24"/>
          <w:szCs w:val="24"/>
          <w:vertAlign w:val="subscript"/>
        </w:rPr>
        <w:t>net,ar</w:t>
      </w:r>
      <w:r>
        <w:rPr>
          <w:rFonts w:ascii="宋体" w:hAnsi="宋体"/>
          <w:sz w:val="24"/>
          <w:szCs w:val="24"/>
        </w:rPr>
        <w:t>）</w:t>
      </w:r>
      <w:r>
        <w:rPr>
          <w:rFonts w:hint="eastAsia" w:ascii="宋体" w:hAnsi="宋体"/>
          <w:sz w:val="24"/>
          <w:szCs w:val="24"/>
        </w:rPr>
        <w:t>超过典型值</w:t>
      </w:r>
      <w:r>
        <w:rPr>
          <w:rFonts w:ascii="宋体" w:hAnsi="宋体"/>
          <w:sz w:val="24"/>
          <w:szCs w:val="24"/>
        </w:rPr>
        <w:t>400kcal/kg</w:t>
      </w:r>
      <w:r>
        <w:rPr>
          <w:rFonts w:hint="eastAsia" w:ascii="宋体" w:hAnsi="宋体"/>
          <w:sz w:val="24"/>
          <w:szCs w:val="24"/>
        </w:rPr>
        <w:t>以上的部分不做奖励。</w:t>
      </w:r>
    </w:p>
    <w:p>
      <w:pPr>
        <w:pStyle w:val="20"/>
        <w:numPr>
          <w:ilvl w:val="3"/>
          <w:numId w:val="1"/>
        </w:numPr>
        <w:tabs>
          <w:tab w:val="left" w:pos="1560"/>
          <w:tab w:val="left" w:pos="2268"/>
        </w:tabs>
        <w:ind w:left="851" w:firstLine="425" w:firstLineChars="0"/>
        <w:outlineLvl w:val="0"/>
        <w:rPr>
          <w:rFonts w:ascii="宋体" w:hAnsi="宋体"/>
          <w:sz w:val="24"/>
          <w:szCs w:val="24"/>
        </w:rPr>
      </w:pPr>
      <w:r>
        <w:rPr>
          <w:rFonts w:hint="eastAsia" w:ascii="宋体" w:hAnsi="宋体"/>
          <w:sz w:val="24"/>
          <w:szCs w:val="24"/>
        </w:rPr>
        <w:t>分段扣罚1：当</w:t>
      </w:r>
      <w:r>
        <w:rPr>
          <w:rFonts w:ascii="宋体" w:hAnsi="宋体"/>
          <w:sz w:val="24"/>
          <w:szCs w:val="24"/>
        </w:rPr>
        <w:t>发热量</w:t>
      </w:r>
      <w:r>
        <w:rPr>
          <w:rFonts w:hint="eastAsia" w:ascii="宋体" w:hAnsi="宋体"/>
          <w:sz w:val="24"/>
          <w:szCs w:val="24"/>
        </w:rPr>
        <w:t>小于典型值但不低于</w:t>
      </w:r>
      <w:r>
        <w:rPr>
          <w:rFonts w:ascii="宋体" w:hAnsi="宋体"/>
          <w:sz w:val="24"/>
          <w:szCs w:val="24"/>
        </w:rPr>
        <w:t>拒收值</w:t>
      </w:r>
      <w:r>
        <w:rPr>
          <w:rFonts w:hint="eastAsia" w:ascii="宋体" w:hAnsi="宋体"/>
          <w:sz w:val="24"/>
          <w:szCs w:val="24"/>
        </w:rPr>
        <w:t>（</w:t>
      </w:r>
      <w:r>
        <w:rPr>
          <w:rFonts w:hint="eastAsia" w:ascii="宋体" w:hAnsi="宋体"/>
          <w:sz w:val="24"/>
          <w:szCs w:val="24"/>
          <w:lang w:val="en-US" w:eastAsia="zh-CN"/>
        </w:rPr>
        <w:t>32</w:t>
      </w:r>
      <w:r>
        <w:rPr>
          <w:rFonts w:ascii="宋体" w:hAnsi="宋体"/>
          <w:sz w:val="24"/>
          <w:szCs w:val="24"/>
        </w:rPr>
        <w:t>00kcal/kg</w:t>
      </w:r>
      <w:r>
        <w:rPr>
          <w:rFonts w:hint="eastAsia" w:ascii="宋体" w:hAnsi="宋体"/>
          <w:sz w:val="24"/>
          <w:szCs w:val="24"/>
        </w:rPr>
        <w:t>）</w:t>
      </w:r>
      <w:r>
        <w:rPr>
          <w:rFonts w:ascii="宋体" w:hAnsi="宋体"/>
          <w:sz w:val="24"/>
          <w:szCs w:val="24"/>
        </w:rPr>
        <w:t>，每</w:t>
      </w:r>
      <w:r>
        <w:rPr>
          <w:rFonts w:hint="eastAsia" w:ascii="宋体" w:hAnsi="宋体"/>
          <w:sz w:val="24"/>
          <w:szCs w:val="24"/>
        </w:rPr>
        <w:t>减少</w:t>
      </w:r>
      <w:r>
        <w:rPr>
          <w:rFonts w:ascii="宋体" w:hAnsi="宋体"/>
          <w:sz w:val="24"/>
          <w:szCs w:val="24"/>
        </w:rPr>
        <w:t>100kcal/kg</w:t>
      </w:r>
      <w:r>
        <w:rPr>
          <w:rFonts w:hint="eastAsia" w:ascii="宋体" w:hAnsi="宋体"/>
          <w:sz w:val="24"/>
          <w:szCs w:val="24"/>
        </w:rPr>
        <w:t>减</w:t>
      </w:r>
      <w:r>
        <w:rPr>
          <w:rFonts w:ascii="宋体" w:hAnsi="宋体"/>
          <w:sz w:val="24"/>
          <w:szCs w:val="24"/>
        </w:rPr>
        <w:t>价</w:t>
      </w:r>
      <m:oMath>
        <m:f>
          <m:fPr>
            <m:ctrlPr>
              <w:rPr>
                <w:rFonts w:ascii="Cambria Math" w:hAnsi="Cambria Math"/>
                <w:i/>
                <w:sz w:val="28"/>
                <w:szCs w:val="24"/>
              </w:rPr>
            </m:ctrlPr>
          </m:fPr>
          <m:num>
            <m:r>
              <w:rPr>
                <w:rFonts w:hint="eastAsia" w:ascii="Cambria Math" w:hAnsi="Cambria Math"/>
                <w:sz w:val="28"/>
                <w:szCs w:val="24"/>
              </w:rPr>
              <m:t>基准价格</m:t>
            </m:r>
            <m:ctrlPr>
              <w:rPr>
                <w:rFonts w:ascii="Cambria Math" w:hAnsi="Cambria Math"/>
                <w:i/>
                <w:sz w:val="28"/>
                <w:szCs w:val="24"/>
              </w:rPr>
            </m:ctrlPr>
          </m:num>
          <m:den>
            <m:r>
              <w:rPr>
                <w:rFonts w:ascii="Cambria Math" w:hAnsi="Cambria Math"/>
                <w:sz w:val="28"/>
                <w:szCs w:val="24"/>
              </w:rPr>
              <m:t>发热量典型值</m:t>
            </m:r>
            <m:ctrlPr>
              <w:rPr>
                <w:rFonts w:ascii="Cambria Math" w:hAnsi="Cambria Math"/>
                <w:i/>
                <w:sz w:val="28"/>
                <w:szCs w:val="24"/>
              </w:rPr>
            </m:ctrlPr>
          </m:den>
        </m:f>
      </m:oMath>
      <w:r>
        <w:rPr>
          <w:rFonts w:ascii="宋体" w:hAnsi="宋体"/>
          <w:iCs/>
          <w:sz w:val="24"/>
          <w:szCs w:val="24"/>
        </w:rPr>
        <w:t>×100元/吨</w:t>
      </w:r>
      <w:r>
        <w:rPr>
          <w:rFonts w:ascii="宋体" w:hAnsi="宋体"/>
          <w:sz w:val="24"/>
          <w:szCs w:val="24"/>
        </w:rPr>
        <w:t>，不足100kcal/kg的部分按比例调整</w:t>
      </w:r>
      <w:r>
        <w:rPr>
          <w:rFonts w:hint="eastAsia" w:ascii="宋体" w:hAnsi="宋体"/>
          <w:sz w:val="24"/>
          <w:szCs w:val="24"/>
        </w:rPr>
        <w:t>。</w:t>
      </w:r>
    </w:p>
    <w:p>
      <w:pPr>
        <w:pStyle w:val="20"/>
        <w:numPr>
          <w:ilvl w:val="3"/>
          <w:numId w:val="1"/>
        </w:numPr>
        <w:tabs>
          <w:tab w:val="left" w:pos="1560"/>
          <w:tab w:val="left" w:pos="2268"/>
        </w:tabs>
        <w:ind w:left="851" w:firstLine="425" w:firstLineChars="0"/>
        <w:outlineLvl w:val="0"/>
        <w:rPr>
          <w:rFonts w:ascii="宋体" w:hAnsi="宋体"/>
          <w:sz w:val="24"/>
          <w:szCs w:val="24"/>
        </w:rPr>
      </w:pPr>
      <w:r>
        <w:rPr>
          <w:rFonts w:hint="eastAsia" w:ascii="宋体" w:hAnsi="宋体"/>
          <w:sz w:val="24"/>
          <w:szCs w:val="24"/>
        </w:rPr>
        <w:t>分段扣罚2：当</w:t>
      </w:r>
      <w:r>
        <w:rPr>
          <w:rFonts w:ascii="宋体" w:hAnsi="宋体"/>
          <w:sz w:val="24"/>
          <w:szCs w:val="24"/>
        </w:rPr>
        <w:t>发热量</w:t>
      </w:r>
      <w:r>
        <w:rPr>
          <w:rFonts w:hint="eastAsia" w:ascii="宋体" w:hAnsi="宋体"/>
          <w:sz w:val="24"/>
          <w:szCs w:val="24"/>
        </w:rPr>
        <w:t>低于</w:t>
      </w:r>
      <w:r>
        <w:rPr>
          <w:rFonts w:ascii="宋体" w:hAnsi="宋体"/>
          <w:sz w:val="24"/>
          <w:szCs w:val="24"/>
        </w:rPr>
        <w:t>拒收值，甲方有权拒收</w:t>
      </w:r>
      <w:r>
        <w:rPr>
          <w:rFonts w:hint="eastAsia" w:ascii="宋体" w:hAnsi="宋体"/>
          <w:sz w:val="24"/>
          <w:szCs w:val="24"/>
        </w:rPr>
        <w:t>，或</w:t>
      </w:r>
      <w:r>
        <w:rPr>
          <w:rFonts w:ascii="宋体" w:hAnsi="宋体"/>
          <w:sz w:val="24"/>
          <w:szCs w:val="24"/>
        </w:rPr>
        <w:t>同意接收</w:t>
      </w:r>
      <w:r>
        <w:rPr>
          <w:rFonts w:hint="eastAsia" w:ascii="宋体" w:hAnsi="宋体"/>
          <w:sz w:val="24"/>
          <w:szCs w:val="24"/>
        </w:rPr>
        <w:t>但进行扣罚，</w:t>
      </w:r>
      <w:r>
        <w:rPr>
          <w:rFonts w:ascii="宋体" w:hAnsi="宋体"/>
          <w:sz w:val="24"/>
          <w:szCs w:val="24"/>
        </w:rPr>
        <w:t>按照低于拒收值</w:t>
      </w:r>
      <w:r>
        <w:rPr>
          <w:rFonts w:hint="eastAsia" w:ascii="宋体" w:hAnsi="宋体"/>
          <w:sz w:val="24"/>
          <w:szCs w:val="24"/>
        </w:rPr>
        <w:t>（</w:t>
      </w:r>
      <w:r>
        <w:rPr>
          <w:rFonts w:hint="eastAsia" w:ascii="宋体" w:hAnsi="宋体"/>
          <w:sz w:val="24"/>
          <w:szCs w:val="24"/>
          <w:lang w:val="en-US" w:eastAsia="zh-CN"/>
        </w:rPr>
        <w:t>32</w:t>
      </w:r>
      <w:bookmarkStart w:id="30" w:name="_GoBack"/>
      <w:bookmarkEnd w:id="30"/>
      <w:r>
        <w:rPr>
          <w:rFonts w:ascii="宋体" w:hAnsi="宋体"/>
          <w:sz w:val="24"/>
          <w:szCs w:val="24"/>
        </w:rPr>
        <w:t>00kcal/kg</w:t>
      </w:r>
      <w:r>
        <w:rPr>
          <w:rFonts w:hint="eastAsia" w:ascii="宋体" w:hAnsi="宋体"/>
          <w:sz w:val="24"/>
          <w:szCs w:val="24"/>
        </w:rPr>
        <w:t>）</w:t>
      </w:r>
      <w:r>
        <w:rPr>
          <w:rFonts w:ascii="宋体" w:hAnsi="宋体"/>
          <w:sz w:val="24"/>
          <w:szCs w:val="24"/>
        </w:rPr>
        <w:t>部分每减少100kcal/kg减价人民币</w:t>
      </w:r>
      <m:oMath>
        <m:f>
          <m:fPr>
            <m:ctrlPr>
              <w:rPr>
                <w:rFonts w:ascii="Cambria Math" w:hAnsi="Cambria Math"/>
                <w:i/>
                <w:sz w:val="28"/>
                <w:szCs w:val="24"/>
              </w:rPr>
            </m:ctrlPr>
          </m:fPr>
          <m:num>
            <m:r>
              <w:rPr>
                <w:rFonts w:hint="eastAsia" w:ascii="Cambria Math" w:hAnsi="Cambria Math"/>
                <w:sz w:val="28"/>
                <w:szCs w:val="24"/>
              </w:rPr>
              <m:t>基准价格</m:t>
            </m:r>
            <m:ctrlPr>
              <w:rPr>
                <w:rFonts w:ascii="Cambria Math" w:hAnsi="Cambria Math"/>
                <w:i/>
                <w:sz w:val="28"/>
                <w:szCs w:val="24"/>
              </w:rPr>
            </m:ctrlPr>
          </m:num>
          <m:den>
            <m:r>
              <w:rPr>
                <w:rFonts w:ascii="Cambria Math" w:hAnsi="Cambria Math"/>
                <w:sz w:val="28"/>
                <w:szCs w:val="24"/>
              </w:rPr>
              <m:t>发热量典型值</m:t>
            </m:r>
            <m:ctrlPr>
              <w:rPr>
                <w:rFonts w:ascii="Cambria Math" w:hAnsi="Cambria Math"/>
                <w:i/>
                <w:sz w:val="28"/>
                <w:szCs w:val="24"/>
              </w:rPr>
            </m:ctrlPr>
          </m:den>
        </m:f>
      </m:oMath>
      <w:r>
        <w:rPr>
          <w:rFonts w:ascii="宋体" w:hAnsi="宋体"/>
          <w:iCs/>
          <w:sz w:val="24"/>
          <w:szCs w:val="24"/>
        </w:rPr>
        <w:t>×200</w:t>
      </w:r>
      <w:r>
        <w:rPr>
          <w:rFonts w:ascii="宋体" w:hAnsi="宋体"/>
          <w:sz w:val="24"/>
          <w:szCs w:val="24"/>
        </w:rPr>
        <w:t>元/吨</w:t>
      </w:r>
      <w:r>
        <w:rPr>
          <w:rFonts w:hint="eastAsia" w:ascii="宋体" w:hAnsi="宋体"/>
          <w:sz w:val="24"/>
          <w:szCs w:val="24"/>
        </w:rPr>
        <w:t>，</w:t>
      </w:r>
      <w:r>
        <w:rPr>
          <w:rFonts w:ascii="宋体" w:hAnsi="宋体"/>
          <w:sz w:val="24"/>
          <w:szCs w:val="24"/>
        </w:rPr>
        <w:t>不足部分按比例调整</w:t>
      </w:r>
      <w:r>
        <w:rPr>
          <w:rFonts w:hint="eastAsia" w:ascii="宋体" w:hAnsi="宋体"/>
          <w:sz w:val="24"/>
          <w:szCs w:val="24"/>
        </w:rPr>
        <w:t>。</w:t>
      </w:r>
    </w:p>
    <w:p>
      <w:pPr>
        <w:pStyle w:val="20"/>
        <w:numPr>
          <w:ilvl w:val="3"/>
          <w:numId w:val="1"/>
        </w:numPr>
        <w:tabs>
          <w:tab w:val="left" w:pos="1560"/>
          <w:tab w:val="left" w:pos="2268"/>
        </w:tabs>
        <w:ind w:left="851" w:firstLine="425" w:firstLineChars="0"/>
        <w:outlineLvl w:val="0"/>
        <w:rPr>
          <w:rFonts w:ascii="宋体" w:hAnsi="宋体"/>
          <w:sz w:val="24"/>
          <w:szCs w:val="24"/>
          <w:highlight w:val="none"/>
        </w:rPr>
      </w:pPr>
      <w:r>
        <w:rPr>
          <w:rFonts w:hint="eastAsia" w:ascii="宋体" w:hAnsi="宋体"/>
          <w:sz w:val="24"/>
          <w:szCs w:val="24"/>
          <w:highlight w:val="none"/>
        </w:rPr>
        <w:t>分段扣罚3：当发热量低于</w:t>
      </w:r>
      <w:r>
        <w:rPr>
          <w:rFonts w:ascii="宋体" w:hAnsi="宋体"/>
          <w:sz w:val="24"/>
          <w:szCs w:val="24"/>
          <w:highlight w:val="none"/>
        </w:rPr>
        <w:t>拒收值</w:t>
      </w:r>
      <w:r>
        <w:rPr>
          <w:rFonts w:hint="eastAsia" w:ascii="宋体" w:hAnsi="宋体"/>
          <w:sz w:val="24"/>
          <w:szCs w:val="24"/>
          <w:highlight w:val="none"/>
        </w:rPr>
        <w:t>超过100k</w:t>
      </w:r>
      <w:r>
        <w:rPr>
          <w:rFonts w:ascii="宋体" w:hAnsi="宋体"/>
          <w:sz w:val="24"/>
          <w:szCs w:val="24"/>
          <w:highlight w:val="none"/>
        </w:rPr>
        <w:t>cal/kg，</w:t>
      </w:r>
      <w:r>
        <w:rPr>
          <w:sz w:val="24"/>
          <w:szCs w:val="24"/>
          <w:highlight w:val="none"/>
        </w:rPr>
        <w:t>从典型值开始</w:t>
      </w:r>
      <w:r>
        <w:rPr>
          <w:rFonts w:ascii="宋体" w:hAnsi="宋体"/>
          <w:sz w:val="24"/>
          <w:szCs w:val="24"/>
          <w:highlight w:val="none"/>
        </w:rPr>
        <w:t>每</w:t>
      </w:r>
      <w:r>
        <w:rPr>
          <w:rFonts w:hint="eastAsia" w:ascii="宋体" w:hAnsi="宋体"/>
          <w:sz w:val="24"/>
          <w:szCs w:val="24"/>
          <w:highlight w:val="none"/>
        </w:rPr>
        <w:t>减少</w:t>
      </w:r>
      <w:r>
        <w:rPr>
          <w:rFonts w:ascii="宋体" w:hAnsi="宋体"/>
          <w:sz w:val="24"/>
          <w:szCs w:val="24"/>
          <w:highlight w:val="none"/>
        </w:rPr>
        <w:t>100kcal/kg</w:t>
      </w:r>
      <w:r>
        <w:rPr>
          <w:rFonts w:hint="eastAsia" w:ascii="宋体" w:hAnsi="宋体"/>
          <w:sz w:val="24"/>
          <w:szCs w:val="24"/>
          <w:highlight w:val="none"/>
        </w:rPr>
        <w:t>减</w:t>
      </w:r>
      <w:r>
        <w:rPr>
          <w:rFonts w:ascii="宋体" w:hAnsi="宋体"/>
          <w:sz w:val="24"/>
          <w:szCs w:val="24"/>
          <w:highlight w:val="none"/>
        </w:rPr>
        <w:t>价</w:t>
      </w:r>
      <m:oMath>
        <m:f>
          <m:fPr>
            <m:ctrlPr>
              <w:rPr>
                <w:rFonts w:ascii="Cambria Math" w:hAnsi="Cambria Math"/>
                <w:i/>
                <w:sz w:val="28"/>
                <w:szCs w:val="24"/>
                <w:highlight w:val="none"/>
              </w:rPr>
            </m:ctrlPr>
          </m:fPr>
          <m:num>
            <m:r>
              <w:rPr>
                <w:rFonts w:hint="eastAsia" w:ascii="Cambria Math" w:hAnsi="Cambria Math"/>
                <w:sz w:val="28"/>
                <w:szCs w:val="24"/>
                <w:highlight w:val="none"/>
              </w:rPr>
              <m:t>基准价格</m:t>
            </m:r>
            <m:ctrlPr>
              <w:rPr>
                <w:rFonts w:ascii="Cambria Math" w:hAnsi="Cambria Math"/>
                <w:i/>
                <w:sz w:val="28"/>
                <w:szCs w:val="24"/>
                <w:highlight w:val="none"/>
              </w:rPr>
            </m:ctrlPr>
          </m:num>
          <m:den>
            <m:r>
              <w:rPr>
                <w:rFonts w:ascii="Cambria Math" w:hAnsi="Cambria Math"/>
                <w:sz w:val="28"/>
                <w:szCs w:val="24"/>
                <w:highlight w:val="none"/>
              </w:rPr>
              <m:t>发热量典型值</m:t>
            </m:r>
            <m:ctrlPr>
              <w:rPr>
                <w:rFonts w:ascii="Cambria Math" w:hAnsi="Cambria Math"/>
                <w:i/>
                <w:sz w:val="28"/>
                <w:szCs w:val="24"/>
                <w:highlight w:val="none"/>
              </w:rPr>
            </m:ctrlPr>
          </m:den>
        </m:f>
      </m:oMath>
      <w:r>
        <w:rPr>
          <w:rFonts w:ascii="宋体" w:hAnsi="宋体"/>
          <w:iCs/>
          <w:sz w:val="24"/>
          <w:szCs w:val="24"/>
          <w:highlight w:val="none"/>
        </w:rPr>
        <w:t>×</w:t>
      </w:r>
      <w:r>
        <w:rPr>
          <w:iCs/>
          <w:sz w:val="24"/>
          <w:szCs w:val="24"/>
          <w:highlight w:val="none"/>
        </w:rPr>
        <w:t>200</w:t>
      </w:r>
      <w:r>
        <w:rPr>
          <w:rFonts w:ascii="宋体" w:hAnsi="宋体"/>
          <w:iCs/>
          <w:sz w:val="24"/>
          <w:szCs w:val="24"/>
          <w:highlight w:val="none"/>
        </w:rPr>
        <w:t>元/吨</w:t>
      </w:r>
      <w:r>
        <w:rPr>
          <w:rFonts w:hint="eastAsia" w:ascii="宋体" w:hAnsi="宋体"/>
          <w:iCs/>
          <w:sz w:val="24"/>
          <w:szCs w:val="24"/>
          <w:highlight w:val="none"/>
        </w:rPr>
        <w:t>，</w:t>
      </w:r>
      <w:r>
        <w:rPr>
          <w:rFonts w:ascii="宋体" w:hAnsi="宋体"/>
          <w:sz w:val="24"/>
          <w:szCs w:val="24"/>
          <w:highlight w:val="none"/>
        </w:rPr>
        <w:t>不足部分按比例调整</w:t>
      </w:r>
      <w:r>
        <w:rPr>
          <w:rFonts w:hint="eastAsia" w:ascii="宋体" w:hAnsi="宋体"/>
          <w:sz w:val="24"/>
          <w:szCs w:val="24"/>
          <w:highlight w:val="none"/>
        </w:rPr>
        <w:t>。</w:t>
      </w:r>
    </w:p>
    <w:p>
      <w:pPr>
        <w:pStyle w:val="20"/>
        <w:numPr>
          <w:ilvl w:val="3"/>
          <w:numId w:val="1"/>
        </w:numPr>
        <w:tabs>
          <w:tab w:val="left" w:pos="1560"/>
          <w:tab w:val="left" w:pos="2268"/>
        </w:tabs>
        <w:ind w:left="851" w:firstLine="425" w:firstLineChars="0"/>
        <w:outlineLvl w:val="0"/>
        <w:rPr>
          <w:rFonts w:ascii="宋体" w:hAnsi="宋体"/>
          <w:sz w:val="24"/>
          <w:szCs w:val="24"/>
        </w:rPr>
      </w:pPr>
      <w:r>
        <w:rPr>
          <w:rFonts w:hint="eastAsia" w:ascii="宋体" w:hAnsi="宋体"/>
          <w:sz w:val="24"/>
          <w:szCs w:val="24"/>
        </w:rPr>
        <w:t>以上条款连续考核，分段计价。每卡单价（即</w:t>
      </w:r>
      <m:oMath>
        <m:f>
          <m:fPr>
            <m:ctrlPr>
              <w:rPr>
                <w:rFonts w:ascii="Cambria Math" w:hAnsi="Cambria Math"/>
                <w:i/>
                <w:sz w:val="28"/>
                <w:szCs w:val="24"/>
              </w:rPr>
            </m:ctrlPr>
          </m:fPr>
          <m:num>
            <m:r>
              <w:rPr>
                <w:rFonts w:hint="eastAsia" w:ascii="Cambria Math" w:hAnsi="Cambria Math"/>
                <w:sz w:val="28"/>
                <w:szCs w:val="24"/>
              </w:rPr>
              <m:t>基准价格</m:t>
            </m:r>
            <m:ctrlPr>
              <w:rPr>
                <w:rFonts w:ascii="Cambria Math" w:hAnsi="Cambria Math"/>
                <w:i/>
                <w:sz w:val="28"/>
                <w:szCs w:val="24"/>
              </w:rPr>
            </m:ctrlPr>
          </m:num>
          <m:den>
            <m:r>
              <w:rPr>
                <w:rFonts w:ascii="Cambria Math" w:hAnsi="Cambria Math"/>
                <w:sz w:val="28"/>
                <w:szCs w:val="24"/>
              </w:rPr>
              <m:t>发热量典型值</m:t>
            </m:r>
            <m:ctrlPr>
              <w:rPr>
                <w:rFonts w:ascii="Cambria Math" w:hAnsi="Cambria Math"/>
                <w:i/>
                <w:sz w:val="28"/>
                <w:szCs w:val="24"/>
              </w:rPr>
            </m:ctrlPr>
          </m:den>
        </m:f>
      </m:oMath>
      <w:r>
        <w:rPr>
          <w:rFonts w:hint="eastAsia" w:ascii="宋体" w:hAnsi="宋体"/>
          <w:sz w:val="24"/>
          <w:szCs w:val="24"/>
        </w:rPr>
        <w:t>）</w:t>
      </w:r>
      <w:r>
        <w:rPr>
          <w:rFonts w:ascii="宋体" w:hAnsi="宋体"/>
          <w:sz w:val="24"/>
          <w:szCs w:val="24"/>
        </w:rPr>
        <w:t>精确到小数点后</w:t>
      </w:r>
      <w:r>
        <w:rPr>
          <w:rFonts w:hint="eastAsia" w:ascii="宋体" w:hAnsi="宋体"/>
          <w:sz w:val="24"/>
          <w:szCs w:val="24"/>
        </w:rPr>
        <w:t>4</w:t>
      </w:r>
      <w:r>
        <w:rPr>
          <w:rFonts w:ascii="宋体" w:hAnsi="宋体"/>
          <w:sz w:val="24"/>
          <w:szCs w:val="24"/>
        </w:rPr>
        <w:t>位</w:t>
      </w:r>
      <w:r>
        <w:rPr>
          <w:rFonts w:hint="eastAsia" w:ascii="宋体" w:hAnsi="宋体"/>
          <w:sz w:val="24"/>
          <w:szCs w:val="24"/>
        </w:rPr>
        <w:t>。</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硫分奖罚：</w:t>
      </w:r>
      <w:r>
        <w:rPr>
          <w:rFonts w:hint="eastAsia" w:ascii="宋体" w:hAnsi="宋体"/>
          <w:sz w:val="24"/>
          <w:szCs w:val="24"/>
        </w:rPr>
        <w:t>若硫分</w:t>
      </w:r>
      <w:r>
        <w:rPr>
          <w:rFonts w:ascii="宋体" w:hAnsi="宋体"/>
          <w:sz w:val="24"/>
          <w:szCs w:val="24"/>
        </w:rPr>
        <w:t>超过合同</w:t>
      </w:r>
      <w:r>
        <w:fldChar w:fldCharType="begin"/>
      </w:r>
      <w:r>
        <w:instrText xml:space="preserve"> HYPERLINK \l "标准规格" </w:instrText>
      </w:r>
      <w:r>
        <w:fldChar w:fldCharType="separate"/>
      </w:r>
      <w:r>
        <w:rPr>
          <w:rStyle w:val="13"/>
          <w:rFonts w:ascii="宋体" w:hAnsi="宋体"/>
          <w:color w:val="auto"/>
          <w:sz w:val="24"/>
          <w:szCs w:val="24"/>
        </w:rPr>
        <w:t>3.1</w:t>
      </w:r>
      <w:r>
        <w:rPr>
          <w:rStyle w:val="13"/>
          <w:rFonts w:ascii="宋体" w:hAnsi="宋体"/>
          <w:color w:val="auto"/>
          <w:sz w:val="24"/>
          <w:szCs w:val="24"/>
        </w:rPr>
        <w:fldChar w:fldCharType="end"/>
      </w:r>
      <w:r>
        <w:rPr>
          <w:rFonts w:ascii="宋体" w:hAnsi="宋体"/>
          <w:sz w:val="24"/>
          <w:szCs w:val="24"/>
        </w:rPr>
        <w:t>条约定的典型值，在典型值的基础上，每超0.1%，减价</w:t>
      </w:r>
      <w:r>
        <w:rPr>
          <w:rFonts w:ascii="宋体" w:hAnsi="宋体" w:cs="宋体"/>
          <w:sz w:val="24"/>
          <w:szCs w:val="24"/>
        </w:rPr>
        <w:t>2.0</w:t>
      </w:r>
      <w:r>
        <w:rPr>
          <w:rFonts w:ascii="宋体" w:hAnsi="宋体"/>
          <w:sz w:val="24"/>
          <w:szCs w:val="24"/>
        </w:rPr>
        <w:t>元/吨；若超过拒收值，甲方有权拒收。甲方同意接收的，对超过拒收值部分每0.1%减价4.0元/吨，不足部分按比例调整。</w:t>
      </w:r>
    </w:p>
    <w:p>
      <w:pPr>
        <w:pStyle w:val="20"/>
        <w:numPr>
          <w:ilvl w:val="0"/>
          <w:numId w:val="0"/>
        </w:numPr>
        <w:tabs>
          <w:tab w:val="left" w:pos="1560"/>
        </w:tabs>
        <w:spacing w:line="300" w:lineRule="exact"/>
        <w:outlineLvl w:val="0"/>
        <w:rPr>
          <w:rFonts w:ascii="宋体" w:hAnsi="宋体"/>
          <w:sz w:val="24"/>
          <w:szCs w:val="24"/>
          <w:highlight w:val="yellow"/>
        </w:rPr>
      </w:pPr>
    </w:p>
    <w:p>
      <w:pPr>
        <w:pStyle w:val="20"/>
        <w:numPr>
          <w:ilvl w:val="2"/>
          <w:numId w:val="1"/>
        </w:numPr>
        <w:tabs>
          <w:tab w:val="left" w:pos="1560"/>
        </w:tabs>
        <w:spacing w:line="300" w:lineRule="exact"/>
        <w:ind w:left="426" w:firstLine="425" w:firstLineChars="0"/>
        <w:outlineLvl w:val="0"/>
        <w:rPr>
          <w:rFonts w:ascii="宋体" w:hAnsi="宋体"/>
          <w:sz w:val="24"/>
          <w:szCs w:val="24"/>
          <w:highlight w:val="none"/>
        </w:rPr>
      </w:pPr>
      <w:r>
        <w:rPr>
          <w:rFonts w:ascii="宋体" w:hAnsi="宋体"/>
          <w:sz w:val="24"/>
          <w:szCs w:val="24"/>
          <w:highlight w:val="none"/>
        </w:rPr>
        <w:t>迟交货扣罚：若船舶抵达卸货港时间晚于合同2.1条约定</w:t>
      </w:r>
      <w:r>
        <w:rPr>
          <w:rFonts w:hint="eastAsia" w:ascii="宋体" w:hAnsi="宋体"/>
          <w:sz w:val="24"/>
          <w:szCs w:val="24"/>
          <w:highlight w:val="none"/>
        </w:rPr>
        <w:t>或甲乙双方另行协商约定的交货期限最后一日2</w:t>
      </w:r>
      <w:r>
        <w:rPr>
          <w:rFonts w:ascii="宋体" w:hAnsi="宋体"/>
          <w:sz w:val="24"/>
          <w:szCs w:val="24"/>
          <w:highlight w:val="none"/>
        </w:rPr>
        <w:t>4:00</w:t>
      </w:r>
      <w:r>
        <w:rPr>
          <w:rFonts w:hint="eastAsia" w:ascii="宋体" w:hAnsi="宋体"/>
          <w:sz w:val="24"/>
          <w:szCs w:val="24"/>
          <w:highlight w:val="none"/>
        </w:rPr>
        <w:t>，若甲方同意接受，按每晚到1天扣减合同基价</w:t>
      </w:r>
      <w:r>
        <w:rPr>
          <w:rFonts w:ascii="宋体" w:hAnsi="宋体"/>
          <w:sz w:val="24"/>
          <w:szCs w:val="24"/>
          <w:highlight w:val="none"/>
        </w:rPr>
        <w:t>2</w:t>
      </w:r>
      <w:r>
        <w:rPr>
          <w:rFonts w:hint="eastAsia" w:ascii="宋体" w:hAnsi="宋体"/>
          <w:sz w:val="24"/>
          <w:szCs w:val="24"/>
          <w:highlight w:val="none"/>
        </w:rPr>
        <w:t>元/吨进行迟交货罚款，不足</w:t>
      </w:r>
      <w:r>
        <w:rPr>
          <w:rFonts w:ascii="宋体" w:hAnsi="宋体"/>
          <w:sz w:val="24"/>
          <w:szCs w:val="24"/>
          <w:highlight w:val="none"/>
        </w:rPr>
        <w:t>1天按1天计算</w:t>
      </w:r>
      <w:r>
        <w:rPr>
          <w:rFonts w:hint="eastAsia" w:ascii="宋体" w:hAnsi="宋体"/>
          <w:sz w:val="24"/>
          <w:szCs w:val="24"/>
          <w:highlight w:val="none"/>
        </w:rPr>
        <w:t>。若船舶抵达卸货港时间晚于合同2</w:t>
      </w:r>
      <w:r>
        <w:rPr>
          <w:rFonts w:ascii="宋体" w:hAnsi="宋体"/>
          <w:sz w:val="24"/>
          <w:szCs w:val="24"/>
          <w:highlight w:val="none"/>
        </w:rPr>
        <w:t>.1</w:t>
      </w:r>
      <w:r>
        <w:rPr>
          <w:rFonts w:hint="eastAsia" w:ascii="宋体" w:hAnsi="宋体"/>
          <w:sz w:val="24"/>
          <w:szCs w:val="24"/>
          <w:highlight w:val="none"/>
        </w:rPr>
        <w:t>条约定或甲乙双方另行协商约定的交货期限最后一日2</w:t>
      </w:r>
      <w:r>
        <w:rPr>
          <w:rFonts w:ascii="宋体" w:hAnsi="宋体"/>
          <w:sz w:val="24"/>
          <w:szCs w:val="24"/>
          <w:highlight w:val="none"/>
        </w:rPr>
        <w:t>4:00</w:t>
      </w:r>
      <w:r>
        <w:rPr>
          <w:rFonts w:hint="eastAsia" w:ascii="宋体" w:hAnsi="宋体"/>
          <w:sz w:val="24"/>
          <w:szCs w:val="24"/>
          <w:highlight w:val="none"/>
        </w:rPr>
        <w:t>，甲方有权拒收</w:t>
      </w:r>
      <w:r>
        <w:rPr>
          <w:rFonts w:ascii="宋体" w:hAnsi="宋体"/>
          <w:sz w:val="24"/>
          <w:szCs w:val="24"/>
          <w:highlight w:val="none"/>
        </w:rPr>
        <w:t>。</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其它</w:t>
      </w:r>
      <w:r>
        <w:rPr>
          <w:rFonts w:hint="eastAsia" w:ascii="宋体" w:hAnsi="宋体"/>
          <w:sz w:val="24"/>
          <w:szCs w:val="24"/>
        </w:rPr>
        <w:t>质量</w:t>
      </w:r>
      <w:r>
        <w:rPr>
          <w:rFonts w:ascii="宋体" w:hAnsi="宋体"/>
          <w:sz w:val="24"/>
          <w:szCs w:val="24"/>
        </w:rPr>
        <w:t>奖罚：</w:t>
      </w:r>
      <w:r>
        <w:rPr>
          <w:rFonts w:hint="eastAsia" w:ascii="宋体" w:hAnsi="宋体"/>
          <w:sz w:val="24"/>
          <w:szCs w:val="24"/>
        </w:rPr>
        <w:t>无</w:t>
      </w:r>
      <w:r>
        <w:rPr>
          <w:rFonts w:ascii="宋体" w:hAnsi="宋体"/>
          <w:sz w:val="24"/>
          <w:szCs w:val="24"/>
        </w:rPr>
        <w:t>。</w:t>
      </w:r>
    </w:p>
    <w:p>
      <w:pPr>
        <w:pStyle w:val="20"/>
        <w:numPr>
          <w:ilvl w:val="1"/>
          <w:numId w:val="1"/>
        </w:numPr>
        <w:spacing w:line="300" w:lineRule="exact"/>
        <w:ind w:left="0" w:firstLine="425" w:firstLineChars="0"/>
        <w:outlineLvl w:val="0"/>
        <w:rPr>
          <w:rFonts w:ascii="宋体" w:hAnsi="宋体"/>
          <w:sz w:val="24"/>
          <w:szCs w:val="24"/>
        </w:rPr>
      </w:pPr>
      <w:r>
        <w:rPr>
          <w:rFonts w:ascii="宋体" w:hAnsi="宋体"/>
          <w:sz w:val="24"/>
          <w:szCs w:val="24"/>
        </w:rPr>
        <w:t>税</w:t>
      </w:r>
      <w:r>
        <w:rPr>
          <w:rFonts w:hint="eastAsia" w:ascii="宋体" w:hAnsi="宋体"/>
          <w:sz w:val="24"/>
          <w:szCs w:val="24"/>
        </w:rPr>
        <w:t>费</w:t>
      </w:r>
      <w:r>
        <w:rPr>
          <w:rFonts w:ascii="宋体" w:hAnsi="宋体"/>
          <w:sz w:val="24"/>
          <w:szCs w:val="24"/>
        </w:rPr>
        <w:t>调整：在合同履行期间，如遇国家法定税率调整，双方应根据税</w:t>
      </w:r>
      <w:r>
        <w:rPr>
          <w:rFonts w:hint="eastAsia" w:ascii="宋体" w:hAnsi="宋体"/>
          <w:sz w:val="24"/>
          <w:szCs w:val="24"/>
        </w:rPr>
        <w:t>费</w:t>
      </w:r>
      <w:r>
        <w:rPr>
          <w:rFonts w:ascii="宋体" w:hAnsi="宋体"/>
          <w:sz w:val="24"/>
          <w:szCs w:val="24"/>
        </w:rPr>
        <w:t>变化</w:t>
      </w:r>
      <w:r>
        <w:rPr>
          <w:rFonts w:hint="eastAsia" w:ascii="宋体" w:hAnsi="宋体"/>
          <w:sz w:val="24"/>
          <w:szCs w:val="24"/>
        </w:rPr>
        <w:t>和执行情况对合同</w:t>
      </w:r>
      <w:r>
        <w:rPr>
          <w:rFonts w:ascii="宋体" w:hAnsi="宋体"/>
          <w:sz w:val="24"/>
          <w:szCs w:val="24"/>
        </w:rPr>
        <w:t>价格</w:t>
      </w:r>
      <w:r>
        <w:rPr>
          <w:rFonts w:hint="eastAsia" w:ascii="宋体" w:hAnsi="宋体"/>
          <w:sz w:val="24"/>
          <w:szCs w:val="24"/>
        </w:rPr>
        <w:t>进行修改</w:t>
      </w:r>
      <w:r>
        <w:rPr>
          <w:rFonts w:ascii="宋体" w:hAnsi="宋体"/>
          <w:sz w:val="24"/>
          <w:szCs w:val="24"/>
        </w:rPr>
        <w:t>。</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费用承担</w:t>
      </w:r>
    </w:p>
    <w:p>
      <w:pPr>
        <w:pStyle w:val="20"/>
        <w:numPr>
          <w:ilvl w:val="1"/>
          <w:numId w:val="1"/>
        </w:numPr>
        <w:spacing w:line="300" w:lineRule="exact"/>
        <w:ind w:left="0" w:firstLine="425" w:firstLineChars="0"/>
        <w:outlineLvl w:val="0"/>
        <w:rPr>
          <w:rFonts w:ascii="宋体" w:hAnsi="宋体"/>
          <w:sz w:val="24"/>
          <w:szCs w:val="24"/>
        </w:rPr>
      </w:pPr>
      <w:r>
        <w:rPr>
          <w:rFonts w:ascii="宋体" w:hAnsi="宋体"/>
          <w:sz w:val="24"/>
          <w:szCs w:val="24"/>
        </w:rPr>
        <w:t>卸货港卸载费用、货物港务（不包含卸货港港口建设费）等货物抵达港口后发生的一切费用（增值税、报关报检费用除外）由甲方承担。</w:t>
      </w:r>
    </w:p>
    <w:p>
      <w:pPr>
        <w:pStyle w:val="20"/>
        <w:numPr>
          <w:ilvl w:val="1"/>
          <w:numId w:val="1"/>
        </w:numPr>
        <w:spacing w:line="300" w:lineRule="exact"/>
        <w:ind w:left="0" w:firstLine="425" w:firstLineChars="0"/>
        <w:outlineLvl w:val="0"/>
        <w:rPr>
          <w:rFonts w:ascii="宋体" w:hAnsi="宋体"/>
          <w:sz w:val="24"/>
          <w:szCs w:val="24"/>
        </w:rPr>
      </w:pPr>
      <w:r>
        <w:rPr>
          <w:rFonts w:ascii="宋体" w:hAnsi="宋体"/>
          <w:sz w:val="24"/>
          <w:szCs w:val="24"/>
        </w:rPr>
        <w:t>货物抵达卸货港前的一切费用，包括但不限于运费、保险费、</w:t>
      </w:r>
      <w:r>
        <w:rPr>
          <w:rFonts w:hint="eastAsia" w:ascii="宋体" w:hAnsi="宋体"/>
          <w:sz w:val="24"/>
          <w:szCs w:val="24"/>
        </w:rPr>
        <w:t>中转港口的作业费及滞期费/速遣费和其它与中转相关的所有费用、</w:t>
      </w:r>
      <w:r>
        <w:rPr>
          <w:rFonts w:ascii="宋体" w:hAnsi="宋体"/>
          <w:sz w:val="24"/>
          <w:szCs w:val="24"/>
        </w:rPr>
        <w:t>卸货港港口建设费及抵达卸货港后通关须缴纳的关税、增值税、报关费、检验检疫费、取样费等全部税费均由乙方负责，且均含在本合同</w:t>
      </w:r>
      <w:r>
        <w:fldChar w:fldCharType="begin"/>
      </w:r>
      <w:r>
        <w:instrText xml:space="preserve"> HYPERLINK \l "合同价格" </w:instrText>
      </w:r>
      <w:r>
        <w:fldChar w:fldCharType="separate"/>
      </w:r>
      <w:r>
        <w:rPr>
          <w:rStyle w:val="13"/>
          <w:rFonts w:ascii="宋体" w:hAnsi="宋体"/>
          <w:color w:val="auto"/>
          <w:sz w:val="24"/>
          <w:szCs w:val="24"/>
        </w:rPr>
        <w:t>7.1</w:t>
      </w:r>
      <w:r>
        <w:rPr>
          <w:rStyle w:val="13"/>
          <w:rFonts w:ascii="宋体" w:hAnsi="宋体"/>
          <w:color w:val="auto"/>
          <w:sz w:val="24"/>
          <w:szCs w:val="24"/>
        </w:rPr>
        <w:fldChar w:fldCharType="end"/>
      </w:r>
      <w:r>
        <w:rPr>
          <w:rFonts w:ascii="宋体" w:hAnsi="宋体"/>
          <w:sz w:val="24"/>
          <w:szCs w:val="24"/>
        </w:rPr>
        <w:t>条约定的</w:t>
      </w:r>
      <w:r>
        <w:rPr>
          <w:rFonts w:hint="eastAsia" w:ascii="宋体" w:hAnsi="宋体"/>
          <w:sz w:val="24"/>
          <w:szCs w:val="24"/>
        </w:rPr>
        <w:t>基准</w:t>
      </w:r>
      <w:r>
        <w:rPr>
          <w:rFonts w:ascii="宋体" w:hAnsi="宋体"/>
          <w:sz w:val="24"/>
          <w:szCs w:val="24"/>
        </w:rPr>
        <w:t>价格中。</w:t>
      </w:r>
    </w:p>
    <w:p>
      <w:pPr>
        <w:pStyle w:val="20"/>
        <w:numPr>
          <w:ilvl w:val="1"/>
          <w:numId w:val="1"/>
        </w:numPr>
        <w:spacing w:line="300" w:lineRule="exact"/>
        <w:ind w:left="0" w:firstLine="425" w:firstLineChars="0"/>
        <w:outlineLvl w:val="0"/>
        <w:rPr>
          <w:rFonts w:ascii="宋体" w:hAnsi="宋体"/>
          <w:sz w:val="24"/>
          <w:szCs w:val="24"/>
        </w:rPr>
      </w:pPr>
      <w:bookmarkStart w:id="9" w:name="_Hlk28358889"/>
      <w:r>
        <w:rPr>
          <w:rFonts w:hint="eastAsia" w:ascii="宋体" w:hAnsi="宋体"/>
          <w:sz w:val="24"/>
          <w:szCs w:val="24"/>
        </w:rPr>
        <w:t>报关要求及风险：</w:t>
      </w:r>
    </w:p>
    <w:p>
      <w:pPr>
        <w:pStyle w:val="20"/>
        <w:numPr>
          <w:ilvl w:val="2"/>
          <w:numId w:val="1"/>
        </w:numPr>
        <w:tabs>
          <w:tab w:val="left" w:pos="1560"/>
        </w:tabs>
        <w:spacing w:line="300" w:lineRule="exact"/>
        <w:ind w:left="426" w:firstLine="425" w:firstLineChars="0"/>
        <w:outlineLvl w:val="0"/>
        <w:rPr>
          <w:rFonts w:ascii="宋体" w:hAnsi="宋体"/>
          <w:sz w:val="24"/>
          <w:szCs w:val="24"/>
        </w:rPr>
      </w:pPr>
      <w:bookmarkStart w:id="10" w:name="_Hlk80892517"/>
      <w:r>
        <w:rPr>
          <w:rFonts w:hint="eastAsia" w:ascii="宋体" w:hAnsi="宋体"/>
          <w:sz w:val="24"/>
          <w:szCs w:val="24"/>
        </w:rPr>
        <w:t>乙方负责办理进口报关。</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Style w:val="40"/>
          <w:rFonts w:hint="eastAsia"/>
        </w:rPr>
        <w:t>进口</w:t>
      </w:r>
      <w:r>
        <w:rPr>
          <w:rFonts w:hint="eastAsia" w:ascii="宋体" w:hAnsi="宋体"/>
          <w:sz w:val="24"/>
          <w:szCs w:val="24"/>
        </w:rPr>
        <w:t>配额由乙方负责解决。</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hint="eastAsia" w:ascii="宋体" w:hAnsi="宋体"/>
          <w:sz w:val="24"/>
          <w:szCs w:val="24"/>
        </w:rPr>
        <w:t>由于海关政策引起的滞期/速遣费由甲方承担。</w:t>
      </w:r>
    </w:p>
    <w:bookmarkEnd w:id="10"/>
    <w:p>
      <w:pPr>
        <w:pStyle w:val="20"/>
        <w:numPr>
          <w:ilvl w:val="1"/>
          <w:numId w:val="1"/>
        </w:numPr>
        <w:spacing w:line="300" w:lineRule="exact"/>
        <w:ind w:left="0" w:firstLine="425" w:firstLineChars="0"/>
        <w:outlineLvl w:val="0"/>
        <w:rPr>
          <w:rFonts w:ascii="宋体" w:hAnsi="宋体"/>
          <w:sz w:val="24"/>
          <w:szCs w:val="24"/>
        </w:rPr>
      </w:pPr>
      <w:bookmarkStart w:id="11" w:name="_Hlk80865907"/>
      <w:bookmarkStart w:id="12" w:name="_Hlk80892528"/>
      <w:r>
        <w:rPr>
          <w:rFonts w:hint="eastAsia" w:ascii="宋体" w:hAnsi="宋体"/>
          <w:sz w:val="24"/>
          <w:szCs w:val="24"/>
        </w:rPr>
        <w:t>突发公共卫生事件防疫风险</w:t>
      </w:r>
      <w:bookmarkEnd w:id="11"/>
      <w:r>
        <w:rPr>
          <w:rFonts w:hint="eastAsia" w:ascii="宋体" w:hAnsi="宋体"/>
          <w:sz w:val="24"/>
          <w:szCs w:val="24"/>
        </w:rPr>
        <w:t>：船舶在卸货港因海关、防疫部门或港口对新冠病毒或其它疫情检疫提出的临时管控措施造成的风险及费用、滞期费等由甲方承担；若因船上或船员本身的防疫风险，包括但不限于发生疑似或确诊病例造成船舶被隔离，不能靠泊、卸货或离港，造成的风险及费用、滞期费等由乙方承担。</w:t>
      </w:r>
    </w:p>
    <w:bookmarkEnd w:id="9"/>
    <w:bookmarkEnd w:id="12"/>
    <w:p>
      <w:pPr>
        <w:pStyle w:val="20"/>
        <w:numPr>
          <w:ilvl w:val="0"/>
          <w:numId w:val="1"/>
        </w:numPr>
        <w:spacing w:before="120" w:line="300" w:lineRule="exact"/>
        <w:ind w:firstLineChars="0"/>
        <w:outlineLvl w:val="0"/>
        <w:rPr>
          <w:rFonts w:ascii="宋体" w:hAnsi="宋体"/>
          <w:b/>
          <w:bCs/>
          <w:sz w:val="24"/>
          <w:szCs w:val="24"/>
        </w:rPr>
      </w:pPr>
      <w:r>
        <w:rPr>
          <w:rFonts w:hint="eastAsia" w:ascii="宋体" w:hAnsi="宋体"/>
          <w:b/>
          <w:bCs/>
          <w:sz w:val="24"/>
          <w:szCs w:val="24"/>
        </w:rPr>
        <w:t>卸货保障</w:t>
      </w:r>
    </w:p>
    <w:p>
      <w:pPr>
        <w:pStyle w:val="20"/>
        <w:numPr>
          <w:ilvl w:val="1"/>
          <w:numId w:val="1"/>
        </w:numPr>
        <w:spacing w:line="300" w:lineRule="exact"/>
        <w:ind w:left="0" w:firstLine="425" w:firstLineChars="0"/>
        <w:outlineLvl w:val="0"/>
        <w:rPr>
          <w:rFonts w:ascii="宋体" w:hAnsi="宋体"/>
          <w:sz w:val="24"/>
          <w:szCs w:val="24"/>
        </w:rPr>
      </w:pPr>
      <w:r>
        <w:rPr>
          <w:rFonts w:hint="eastAsia" w:ascii="宋体" w:hAnsi="宋体" w:cs="宋体"/>
          <w:sz w:val="24"/>
          <w:szCs w:val="24"/>
          <w:lang w:val="zh-CN"/>
        </w:rPr>
        <w:t>乙方有义务控制煤炭粒度，对于</w:t>
      </w:r>
      <w:r>
        <w:rPr>
          <w:rFonts w:ascii="宋体" w:hAnsi="宋体" w:cs="宋体"/>
          <w:sz w:val="24"/>
          <w:szCs w:val="24"/>
          <w:lang w:val="zh-CN"/>
        </w:rPr>
        <w:t>粉尘</w:t>
      </w:r>
      <w:r>
        <w:rPr>
          <w:rFonts w:hint="eastAsia" w:ascii="宋体" w:hAnsi="宋体" w:cs="宋体"/>
          <w:sz w:val="24"/>
          <w:szCs w:val="24"/>
          <w:lang w:val="zh-CN"/>
        </w:rPr>
        <w:t>较</w:t>
      </w:r>
      <w:r>
        <w:rPr>
          <w:rFonts w:ascii="宋体" w:hAnsi="宋体" w:cs="宋体"/>
          <w:sz w:val="24"/>
          <w:szCs w:val="24"/>
          <w:lang w:val="zh-CN"/>
        </w:rPr>
        <w:t>大的煤炭</w:t>
      </w:r>
      <w:r>
        <w:rPr>
          <w:rFonts w:hint="eastAsia" w:ascii="宋体" w:hAnsi="宋体" w:cs="宋体"/>
          <w:sz w:val="24"/>
          <w:szCs w:val="24"/>
          <w:lang w:val="zh-CN"/>
        </w:rPr>
        <w:t>应</w:t>
      </w:r>
      <w:r>
        <w:rPr>
          <w:rFonts w:ascii="宋体" w:hAnsi="宋体" w:cs="宋体"/>
          <w:sz w:val="24"/>
          <w:szCs w:val="24"/>
          <w:lang w:val="zh-CN"/>
        </w:rPr>
        <w:t>在装货港采取</w:t>
      </w:r>
      <w:r>
        <w:rPr>
          <w:rFonts w:hint="eastAsia" w:ascii="宋体" w:hAnsi="宋体" w:cs="宋体"/>
          <w:sz w:val="24"/>
          <w:szCs w:val="24"/>
          <w:lang w:val="zh-CN"/>
        </w:rPr>
        <w:t>抑尘</w:t>
      </w:r>
      <w:r>
        <w:rPr>
          <w:rFonts w:ascii="宋体" w:hAnsi="宋体" w:cs="宋体"/>
          <w:sz w:val="24"/>
          <w:szCs w:val="24"/>
          <w:lang w:val="zh-CN"/>
        </w:rPr>
        <w:t>措施，</w:t>
      </w:r>
      <w:r>
        <w:rPr>
          <w:rFonts w:hint="eastAsia" w:ascii="宋体" w:hAnsi="宋体" w:cs="宋体"/>
          <w:sz w:val="24"/>
          <w:szCs w:val="24"/>
          <w:lang w:val="zh-CN"/>
        </w:rPr>
        <w:t>避免在卸港因扬尘过大污染环境；</w:t>
      </w:r>
      <w:r>
        <w:rPr>
          <w:rFonts w:ascii="宋体" w:hAnsi="宋体" w:cs="宋体"/>
          <w:sz w:val="24"/>
          <w:szCs w:val="24"/>
          <w:lang w:val="zh-CN"/>
        </w:rPr>
        <w:t>若</w:t>
      </w:r>
      <w:r>
        <w:rPr>
          <w:rFonts w:hint="eastAsia" w:ascii="宋体" w:hAnsi="宋体" w:cs="宋体"/>
          <w:sz w:val="24"/>
          <w:szCs w:val="24"/>
          <w:lang w:val="zh-CN"/>
        </w:rPr>
        <w:t>卸货时扬尘过大，甲方有权</w:t>
      </w:r>
      <w:r>
        <w:rPr>
          <w:rFonts w:ascii="宋体" w:hAnsi="宋体"/>
          <w:sz w:val="24"/>
          <w:szCs w:val="24"/>
        </w:rPr>
        <w:t>进行合理的喷淋处理</w:t>
      </w:r>
      <w:r>
        <w:rPr>
          <w:rFonts w:hint="eastAsia" w:ascii="宋体" w:hAnsi="宋体"/>
          <w:sz w:val="24"/>
          <w:szCs w:val="24"/>
        </w:rPr>
        <w:t>或</w:t>
      </w:r>
      <w:r>
        <w:rPr>
          <w:rFonts w:hint="eastAsia" w:ascii="宋体" w:hAnsi="宋体" w:cs="宋体"/>
          <w:sz w:val="24"/>
          <w:szCs w:val="24"/>
          <w:lang w:val="zh-CN"/>
        </w:rPr>
        <w:t>停止</w:t>
      </w:r>
      <w:r>
        <w:rPr>
          <w:rFonts w:ascii="宋体" w:hAnsi="宋体" w:cs="宋体"/>
          <w:sz w:val="24"/>
          <w:szCs w:val="24"/>
          <w:lang w:val="zh-CN"/>
        </w:rPr>
        <w:t>卸货</w:t>
      </w:r>
      <w:r>
        <w:rPr>
          <w:rFonts w:hint="eastAsia" w:ascii="宋体" w:hAnsi="宋体" w:cs="宋体"/>
          <w:sz w:val="24"/>
          <w:szCs w:val="24"/>
          <w:lang w:val="zh-CN"/>
        </w:rPr>
        <w:t>。</w:t>
      </w:r>
    </w:p>
    <w:p>
      <w:pPr>
        <w:pStyle w:val="20"/>
        <w:numPr>
          <w:ilvl w:val="1"/>
          <w:numId w:val="1"/>
        </w:numPr>
        <w:spacing w:line="300" w:lineRule="exact"/>
        <w:ind w:left="0" w:firstLine="425" w:firstLineChars="0"/>
        <w:outlineLvl w:val="0"/>
        <w:rPr>
          <w:rFonts w:ascii="宋体" w:hAnsi="宋体"/>
          <w:sz w:val="24"/>
          <w:szCs w:val="24"/>
        </w:rPr>
      </w:pPr>
      <w:r>
        <w:rPr>
          <w:rFonts w:ascii="宋体" w:hAnsi="宋体"/>
          <w:sz w:val="24"/>
          <w:szCs w:val="24"/>
        </w:rPr>
        <w:t>若因煤炭过粘、过硬、</w:t>
      </w:r>
      <w:r>
        <w:rPr>
          <w:rFonts w:hint="eastAsia" w:ascii="宋体" w:hAnsi="宋体"/>
          <w:sz w:val="24"/>
          <w:szCs w:val="24"/>
        </w:rPr>
        <w:t>扬</w:t>
      </w:r>
      <w:r>
        <w:rPr>
          <w:rFonts w:ascii="宋体" w:hAnsi="宋体"/>
          <w:sz w:val="24"/>
          <w:szCs w:val="24"/>
        </w:rPr>
        <w:t>尘过大</w:t>
      </w:r>
      <w:r>
        <w:rPr>
          <w:rFonts w:hint="eastAsia" w:ascii="宋体" w:hAnsi="宋体"/>
          <w:sz w:val="24"/>
          <w:szCs w:val="24"/>
        </w:rPr>
        <w:t>、块大等货物原因</w:t>
      </w:r>
      <w:r>
        <w:rPr>
          <w:rFonts w:ascii="宋体" w:hAnsi="宋体"/>
          <w:sz w:val="24"/>
          <w:szCs w:val="24"/>
        </w:rPr>
        <w:t>导致无法卸货，甲方有权要求乙方在合理期限内派代表抵达卸货现场进行补救并</w:t>
      </w:r>
      <w:r>
        <w:rPr>
          <w:rFonts w:hint="eastAsia" w:ascii="宋体" w:hAnsi="宋体"/>
          <w:sz w:val="24"/>
          <w:szCs w:val="24"/>
        </w:rPr>
        <w:t>配合甲方</w:t>
      </w:r>
      <w:r>
        <w:rPr>
          <w:rFonts w:ascii="宋体" w:hAnsi="宋体"/>
          <w:sz w:val="24"/>
          <w:szCs w:val="24"/>
        </w:rPr>
        <w:t>解决卸货问题。</w:t>
      </w:r>
    </w:p>
    <w:p>
      <w:pPr>
        <w:pStyle w:val="20"/>
        <w:numPr>
          <w:ilvl w:val="1"/>
          <w:numId w:val="1"/>
        </w:numPr>
        <w:spacing w:line="300" w:lineRule="exact"/>
        <w:ind w:left="0" w:firstLine="425" w:firstLineChars="0"/>
        <w:outlineLvl w:val="0"/>
        <w:rPr>
          <w:rFonts w:ascii="宋体" w:hAnsi="宋体"/>
          <w:sz w:val="24"/>
          <w:szCs w:val="24"/>
        </w:rPr>
      </w:pPr>
      <w:bookmarkStart w:id="13" w:name="_Hlk80893025"/>
      <w:r>
        <w:rPr>
          <w:rFonts w:hint="eastAsia" w:ascii="宋体" w:hAnsi="宋体"/>
          <w:sz w:val="24"/>
        </w:rPr>
        <w:t>乙方所供煤炭中不得含有任何对收货人或收货人指定电厂（以下简称“电厂”）的卸输煤设施、煤炭制粉系统及燃煤设备造成意外损坏的物质，由此造成的相应损失由乙方承担。</w:t>
      </w:r>
    </w:p>
    <w:bookmarkEnd w:id="13"/>
    <w:p>
      <w:pPr>
        <w:pStyle w:val="20"/>
        <w:numPr>
          <w:ilvl w:val="1"/>
          <w:numId w:val="1"/>
        </w:numPr>
        <w:spacing w:line="300" w:lineRule="exact"/>
        <w:ind w:left="0" w:firstLine="425" w:firstLineChars="0"/>
        <w:outlineLvl w:val="0"/>
        <w:rPr>
          <w:rFonts w:ascii="宋体" w:hAnsi="宋体"/>
          <w:sz w:val="24"/>
          <w:szCs w:val="24"/>
        </w:rPr>
      </w:pPr>
      <w:bookmarkStart w:id="14" w:name="_Hlk80893034"/>
      <w:r>
        <w:rPr>
          <w:rFonts w:ascii="宋体" w:hAnsi="宋体"/>
          <w:sz w:val="24"/>
          <w:szCs w:val="24"/>
        </w:rPr>
        <w:t>若乙方所供煤炭未能满足《商品煤质量管理暂行办法》（国家发改委第16号令</w:t>
      </w:r>
      <w:r>
        <w:rPr>
          <w:rFonts w:hint="eastAsia" w:ascii="宋体" w:hAnsi="宋体"/>
          <w:sz w:val="24"/>
          <w:szCs w:val="24"/>
        </w:rPr>
        <w:t>及后续修订</w:t>
      </w:r>
      <w:r>
        <w:rPr>
          <w:rFonts w:ascii="宋体" w:hAnsi="宋体"/>
          <w:sz w:val="24"/>
          <w:szCs w:val="24"/>
        </w:rPr>
        <w:t>）、国家及卸货港当地政府发布的其它</w:t>
      </w:r>
      <w:r>
        <w:rPr>
          <w:rFonts w:hint="eastAsia" w:ascii="宋体" w:hAnsi="宋体"/>
          <w:sz w:val="24"/>
          <w:szCs w:val="24"/>
        </w:rPr>
        <w:t>与进口煤</w:t>
      </w:r>
      <w:r>
        <w:rPr>
          <w:rFonts w:ascii="宋体" w:hAnsi="宋体"/>
          <w:sz w:val="24"/>
          <w:szCs w:val="24"/>
        </w:rPr>
        <w:t>有关</w:t>
      </w:r>
      <w:r>
        <w:rPr>
          <w:rFonts w:hint="eastAsia" w:ascii="宋体" w:hAnsi="宋体"/>
          <w:sz w:val="24"/>
          <w:szCs w:val="24"/>
        </w:rPr>
        <w:t>的</w:t>
      </w:r>
      <w:r>
        <w:rPr>
          <w:rFonts w:ascii="宋体" w:hAnsi="宋体"/>
          <w:sz w:val="24"/>
          <w:szCs w:val="24"/>
        </w:rPr>
        <w:t>法令</w:t>
      </w:r>
      <w:r>
        <w:rPr>
          <w:rFonts w:hint="eastAsia" w:ascii="宋体" w:hAnsi="宋体"/>
          <w:sz w:val="24"/>
          <w:szCs w:val="24"/>
        </w:rPr>
        <w:t>、规定</w:t>
      </w:r>
      <w:r>
        <w:rPr>
          <w:rFonts w:ascii="宋体" w:hAnsi="宋体"/>
          <w:sz w:val="24"/>
          <w:szCs w:val="24"/>
        </w:rPr>
        <w:t>及政策要求，导致甲方无法正常接卸或使用该批煤炭，因此产生的全部费用由乙方承担，包括但不限于船舶滞期费、行政罚金、煤炭退运所需费用等，除非本合同另有约定。</w:t>
      </w:r>
      <w:bookmarkEnd w:id="14"/>
      <w:r>
        <w:rPr>
          <w:rFonts w:ascii="宋体" w:hAnsi="宋体"/>
          <w:sz w:val="24"/>
          <w:szCs w:val="24"/>
        </w:rPr>
        <w:t>甲方有权要求乙方补救，若乙方未能在甲方要求的合理期限内进行补救，甲方有权终止合同，并就由于乙方未能供应符合要求的煤炭所遭受的损失提出索赔，包括但不限于甲方的直接损失、利润损失、从第三方购买其它替代煤炭的差价损失，以及由此给</w:t>
      </w:r>
      <w:r>
        <w:rPr>
          <w:rFonts w:hint="eastAsia" w:ascii="宋体" w:hAnsi="宋体"/>
          <w:sz w:val="24"/>
          <w:szCs w:val="24"/>
        </w:rPr>
        <w:t>甲方</w:t>
      </w:r>
      <w:r>
        <w:rPr>
          <w:rFonts w:ascii="宋体" w:hAnsi="宋体"/>
          <w:sz w:val="24"/>
          <w:szCs w:val="24"/>
        </w:rPr>
        <w:t>下游</w:t>
      </w:r>
      <w:r>
        <w:rPr>
          <w:rFonts w:hint="eastAsia" w:ascii="宋体" w:hAnsi="宋体"/>
          <w:sz w:val="24"/>
          <w:szCs w:val="24"/>
        </w:rPr>
        <w:t>的</w:t>
      </w:r>
      <w:r>
        <w:rPr>
          <w:rFonts w:ascii="宋体" w:hAnsi="宋体"/>
          <w:sz w:val="24"/>
          <w:szCs w:val="24"/>
        </w:rPr>
        <w:t>煤炭</w:t>
      </w:r>
      <w:r>
        <w:rPr>
          <w:rFonts w:hint="eastAsia" w:ascii="宋体" w:hAnsi="宋体"/>
          <w:sz w:val="24"/>
          <w:szCs w:val="24"/>
        </w:rPr>
        <w:t>用户</w:t>
      </w:r>
      <w:r>
        <w:rPr>
          <w:rFonts w:ascii="宋体" w:hAnsi="宋体"/>
          <w:sz w:val="24"/>
          <w:szCs w:val="24"/>
        </w:rPr>
        <w:t>造成的生产延误损失。</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运输、风险、投保及卸货</w:t>
      </w:r>
      <w:r>
        <w:rPr>
          <w:rFonts w:hint="eastAsia" w:ascii="宋体" w:hAnsi="宋体"/>
          <w:b/>
          <w:bCs/>
          <w:sz w:val="24"/>
          <w:szCs w:val="24"/>
        </w:rPr>
        <w:t>时间</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乙方负责租船运输，船舶载重吨及船型应符合卸货港码头技术要求，否则造成的损失由乙方承担。乙方有义务在租船前向甲方了解卸货港码头的技术要求</w:t>
      </w:r>
      <w:r>
        <w:rPr>
          <w:rFonts w:hint="eastAsia" w:ascii="宋体" w:hAnsi="宋体"/>
          <w:sz w:val="24"/>
          <w:szCs w:val="24"/>
        </w:rPr>
        <w:t>及船型限制</w:t>
      </w:r>
      <w:r>
        <w:rPr>
          <w:rFonts w:ascii="宋体" w:hAnsi="宋体"/>
          <w:sz w:val="24"/>
          <w:szCs w:val="24"/>
        </w:rPr>
        <w:t>。</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卸货港条件：以卸货港实际条件为准。</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在卸货港越过船舷交付甲方之前，货物风险由乙方承担，乙方负责按每船煤炭离岸价格投保，办理煤炭的海上运输保险及其它保险，承担保险费，并在发生事故时办理理赔。</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船舶信息及动态通知：</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hint="eastAsia" w:ascii="宋体" w:hAnsi="宋体"/>
          <w:sz w:val="24"/>
          <w:szCs w:val="24"/>
        </w:rPr>
        <w:t>船舶信息及装船</w:t>
      </w:r>
      <w:r>
        <w:rPr>
          <w:rFonts w:ascii="宋体" w:hAnsi="宋体"/>
          <w:sz w:val="24"/>
          <w:szCs w:val="24"/>
        </w:rPr>
        <w:t>动态：乙方应在</w:t>
      </w:r>
      <w:r>
        <w:rPr>
          <w:rFonts w:hint="eastAsia" w:ascii="宋体" w:hAnsi="宋体"/>
          <w:sz w:val="24"/>
          <w:szCs w:val="24"/>
        </w:rPr>
        <w:t>确定船舶</w:t>
      </w:r>
      <w:r>
        <w:rPr>
          <w:rFonts w:ascii="宋体" w:hAnsi="宋体"/>
          <w:sz w:val="24"/>
          <w:szCs w:val="24"/>
        </w:rPr>
        <w:t>信息</w:t>
      </w:r>
      <w:r>
        <w:rPr>
          <w:rFonts w:hint="eastAsia" w:ascii="宋体" w:hAnsi="宋体"/>
          <w:sz w:val="24"/>
          <w:szCs w:val="24"/>
        </w:rPr>
        <w:t>（包括更换船舶、中转港通关后从中转港拉运到卸货港的船舶）</w:t>
      </w:r>
      <w:r>
        <w:rPr>
          <w:rFonts w:ascii="宋体" w:hAnsi="宋体"/>
          <w:sz w:val="24"/>
          <w:szCs w:val="24"/>
        </w:rPr>
        <w:t>后</w:t>
      </w:r>
      <w:r>
        <w:rPr>
          <w:rFonts w:hint="eastAsia" w:ascii="宋体" w:hAnsi="宋体"/>
          <w:sz w:val="24"/>
          <w:szCs w:val="24"/>
        </w:rPr>
        <w:t>，</w:t>
      </w:r>
      <w:r>
        <w:rPr>
          <w:rFonts w:ascii="宋体" w:hAnsi="宋体"/>
          <w:sz w:val="24"/>
          <w:szCs w:val="24"/>
        </w:rPr>
        <w:t>立</w:t>
      </w:r>
      <w:bookmarkStart w:id="15" w:name="_Hlk80866542"/>
      <w:r>
        <w:rPr>
          <w:rFonts w:ascii="宋体" w:hAnsi="宋体"/>
          <w:sz w:val="24"/>
          <w:szCs w:val="24"/>
        </w:rPr>
        <w:t>即</w:t>
      </w:r>
      <w:r>
        <w:rPr>
          <w:rStyle w:val="40"/>
          <w:rFonts w:hint="eastAsia"/>
        </w:rPr>
        <w:t>将附件一“船舶信息”</w:t>
      </w:r>
      <w:bookmarkStart w:id="16" w:name="_Hlk80893206"/>
      <w:bookmarkStart w:id="17" w:name="_Hlk80893167"/>
      <w:r>
        <w:rPr>
          <w:rFonts w:ascii="宋体" w:hAnsi="宋体"/>
          <w:sz w:val="24"/>
          <w:szCs w:val="24"/>
        </w:rPr>
        <w:t>以</w:t>
      </w:r>
      <w:r>
        <w:rPr>
          <w:rFonts w:hint="eastAsia" w:ascii="宋体" w:hAnsi="宋体"/>
          <w:sz w:val="24"/>
          <w:szCs w:val="24"/>
        </w:rPr>
        <w:t>传真或扫描文档发送</w:t>
      </w:r>
      <w:r>
        <w:rPr>
          <w:rFonts w:ascii="宋体" w:hAnsi="宋体"/>
          <w:sz w:val="24"/>
          <w:szCs w:val="24"/>
        </w:rPr>
        <w:t>电子邮件</w:t>
      </w:r>
      <w:bookmarkEnd w:id="15"/>
      <w:r>
        <w:rPr>
          <w:rFonts w:hint="eastAsia" w:ascii="宋体" w:hAnsi="宋体"/>
          <w:sz w:val="24"/>
          <w:szCs w:val="24"/>
        </w:rPr>
        <w:t>方式</w:t>
      </w:r>
      <w:r>
        <w:rPr>
          <w:rFonts w:ascii="宋体" w:hAnsi="宋体"/>
          <w:sz w:val="24"/>
          <w:szCs w:val="24"/>
        </w:rPr>
        <w:t>通知甲方</w:t>
      </w:r>
      <w:bookmarkEnd w:id="16"/>
      <w:bookmarkEnd w:id="17"/>
      <w:r>
        <w:rPr>
          <w:rFonts w:hint="eastAsia" w:ascii="宋体" w:hAnsi="宋体"/>
          <w:sz w:val="24"/>
          <w:szCs w:val="24"/>
        </w:rPr>
        <w:t>，包括</w:t>
      </w:r>
      <w:r>
        <w:rPr>
          <w:rFonts w:ascii="宋体" w:hAnsi="宋体"/>
          <w:sz w:val="24"/>
          <w:szCs w:val="24"/>
        </w:rPr>
        <w:t>船舶名称</w:t>
      </w:r>
      <w:r>
        <w:rPr>
          <w:rFonts w:hint="eastAsia" w:ascii="宋体" w:hAnsi="宋体"/>
          <w:sz w:val="24"/>
          <w:szCs w:val="24"/>
        </w:rPr>
        <w:t>（中/英文船名）</w:t>
      </w:r>
      <w:r>
        <w:rPr>
          <w:rFonts w:ascii="宋体" w:hAnsi="宋体"/>
          <w:sz w:val="24"/>
          <w:szCs w:val="24"/>
        </w:rPr>
        <w:t>、</w:t>
      </w:r>
      <w:r>
        <w:rPr>
          <w:rFonts w:hint="eastAsia" w:ascii="宋体" w:hAnsi="宋体"/>
          <w:sz w:val="24"/>
          <w:szCs w:val="24"/>
        </w:rPr>
        <w:t>合同编号、</w:t>
      </w:r>
      <w:r>
        <w:rPr>
          <w:rFonts w:ascii="宋体" w:hAnsi="宋体"/>
          <w:sz w:val="24"/>
          <w:szCs w:val="24"/>
        </w:rPr>
        <w:t>航次、载重吨、</w:t>
      </w:r>
      <w:r>
        <w:rPr>
          <w:rFonts w:hint="eastAsia" w:ascii="宋体" w:hAnsi="宋体"/>
          <w:sz w:val="24"/>
          <w:szCs w:val="24"/>
        </w:rPr>
        <w:t>实际载货量、船长度、</w:t>
      </w:r>
      <w:r>
        <w:rPr>
          <w:rFonts w:ascii="宋体" w:hAnsi="宋体"/>
          <w:sz w:val="24"/>
          <w:szCs w:val="24"/>
        </w:rPr>
        <w:t>预计抵达装船港</w:t>
      </w:r>
      <w:r>
        <w:rPr>
          <w:rFonts w:hint="eastAsia" w:ascii="宋体" w:hAnsi="宋体"/>
          <w:sz w:val="24"/>
          <w:szCs w:val="24"/>
        </w:rPr>
        <w:t>日期，</w:t>
      </w:r>
      <w:r>
        <w:rPr>
          <w:rFonts w:ascii="宋体" w:hAnsi="宋体"/>
          <w:sz w:val="24"/>
          <w:szCs w:val="24"/>
        </w:rPr>
        <w:t>及其它与合同履行有关的相关船舶信息</w:t>
      </w:r>
      <w:r>
        <w:rPr>
          <w:rFonts w:hint="eastAsia" w:ascii="宋体" w:hAnsi="宋体"/>
          <w:sz w:val="24"/>
          <w:szCs w:val="24"/>
        </w:rPr>
        <w:t>；</w:t>
      </w:r>
      <w:r>
        <w:rPr>
          <w:rFonts w:ascii="宋体" w:hAnsi="宋体"/>
          <w:sz w:val="24"/>
          <w:szCs w:val="24"/>
        </w:rPr>
        <w:t>在装船</w:t>
      </w:r>
      <w:r>
        <w:rPr>
          <w:rFonts w:hint="eastAsia" w:ascii="宋体" w:hAnsi="宋体"/>
          <w:sz w:val="24"/>
          <w:szCs w:val="24"/>
        </w:rPr>
        <w:t>直至装船完毕</w:t>
      </w:r>
      <w:r>
        <w:rPr>
          <w:rFonts w:ascii="宋体" w:hAnsi="宋体"/>
          <w:sz w:val="24"/>
          <w:szCs w:val="24"/>
        </w:rPr>
        <w:t>期间</w:t>
      </w:r>
      <w:r>
        <w:rPr>
          <w:rFonts w:hint="eastAsia" w:ascii="宋体" w:hAnsi="宋体"/>
          <w:sz w:val="24"/>
          <w:szCs w:val="24"/>
        </w:rPr>
        <w:t>，乙方应</w:t>
      </w:r>
      <w:r>
        <w:rPr>
          <w:rFonts w:ascii="宋体" w:hAnsi="宋体"/>
          <w:sz w:val="24"/>
          <w:szCs w:val="24"/>
        </w:rPr>
        <w:t>及时向甲方发送装船动态通知；</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在途动态：乙方应在船舶到达卸</w:t>
      </w:r>
      <w:r>
        <w:rPr>
          <w:rFonts w:hint="eastAsia" w:ascii="宋体" w:hAnsi="宋体"/>
          <w:sz w:val="24"/>
          <w:szCs w:val="24"/>
        </w:rPr>
        <w:t>货</w:t>
      </w:r>
      <w:r>
        <w:rPr>
          <w:rFonts w:ascii="宋体" w:hAnsi="宋体"/>
          <w:sz w:val="24"/>
          <w:szCs w:val="24"/>
        </w:rPr>
        <w:t>港前</w:t>
      </w:r>
      <w:r>
        <w:rPr>
          <w:rFonts w:ascii="宋体" w:hAnsi="宋体"/>
          <w:sz w:val="24"/>
          <w:szCs w:val="24"/>
          <w:u w:val="single"/>
        </w:rPr>
        <w:t>7/5/3/2/1</w:t>
      </w:r>
      <w:r>
        <w:rPr>
          <w:rFonts w:ascii="宋体" w:hAnsi="宋体"/>
          <w:sz w:val="24"/>
          <w:szCs w:val="24"/>
        </w:rPr>
        <w:t>个工作日以电子邮件通知甲方，以便甲方及时安排接卸</w:t>
      </w:r>
      <w:r>
        <w:rPr>
          <w:rFonts w:hint="eastAsia" w:ascii="宋体" w:hAnsi="宋体"/>
          <w:sz w:val="24"/>
          <w:szCs w:val="24"/>
        </w:rPr>
        <w:t>。</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通知地址：甲方接收船舶动态的电子邮箱地址为</w:t>
      </w:r>
      <w:r>
        <w:fldChar w:fldCharType="begin"/>
      </w:r>
      <w:r>
        <w:instrText xml:space="preserve"> HYPERLINK "mailto:dtshippinginfo@cdt-rl.com" </w:instrText>
      </w:r>
      <w:r>
        <w:fldChar w:fldCharType="separate"/>
      </w:r>
      <w:r>
        <w:rPr>
          <w:rStyle w:val="13"/>
          <w:rFonts w:hint="eastAsia" w:ascii="宋体" w:hAnsi="宋体"/>
          <w:b/>
          <w:i/>
          <w:color w:val="auto"/>
          <w:sz w:val="24"/>
          <w:szCs w:val="24"/>
        </w:rPr>
        <w:t>dtshippinginfo@</w:t>
      </w:r>
      <w:r>
        <w:rPr>
          <w:rStyle w:val="13"/>
          <w:rFonts w:ascii="宋体" w:hAnsi="宋体"/>
          <w:b/>
          <w:i/>
          <w:color w:val="auto"/>
          <w:sz w:val="24"/>
          <w:szCs w:val="24"/>
        </w:rPr>
        <w:t>cdt-rl</w:t>
      </w:r>
      <w:r>
        <w:rPr>
          <w:rStyle w:val="13"/>
          <w:rFonts w:hint="eastAsia" w:ascii="宋体" w:hAnsi="宋体"/>
          <w:b/>
          <w:i/>
          <w:color w:val="auto"/>
          <w:sz w:val="24"/>
          <w:szCs w:val="24"/>
        </w:rPr>
        <w:t>.com</w:t>
      </w:r>
      <w:r>
        <w:rPr>
          <w:rStyle w:val="13"/>
          <w:rFonts w:hint="eastAsia" w:ascii="宋体" w:hAnsi="宋体"/>
          <w:b/>
          <w:i/>
          <w:color w:val="auto"/>
          <w:sz w:val="24"/>
          <w:szCs w:val="24"/>
        </w:rPr>
        <w:fldChar w:fldCharType="end"/>
      </w:r>
      <w:r>
        <w:rPr>
          <w:rFonts w:hint="eastAsia" w:ascii="宋体" w:hAnsi="宋体"/>
          <w:i/>
          <w:sz w:val="24"/>
          <w:szCs w:val="24"/>
        </w:rPr>
        <w:t>，</w:t>
      </w:r>
      <w:r>
        <w:rPr>
          <w:rFonts w:hint="eastAsia" w:ascii="宋体" w:hAnsi="宋体"/>
          <w:sz w:val="24"/>
          <w:szCs w:val="24"/>
        </w:rPr>
        <w:t>或甲方</w:t>
      </w:r>
      <w:r>
        <w:rPr>
          <w:rFonts w:ascii="宋体" w:hAnsi="宋体"/>
          <w:sz w:val="24"/>
          <w:szCs w:val="24"/>
        </w:rPr>
        <w:t>通知的其它</w:t>
      </w:r>
      <w:r>
        <w:rPr>
          <w:rFonts w:hint="eastAsia" w:ascii="宋体" w:hAnsi="宋体"/>
          <w:sz w:val="24"/>
          <w:szCs w:val="24"/>
        </w:rPr>
        <w:t>电子邮件</w:t>
      </w:r>
      <w:r>
        <w:rPr>
          <w:rFonts w:ascii="宋体" w:hAnsi="宋体"/>
          <w:sz w:val="24"/>
          <w:szCs w:val="24"/>
        </w:rPr>
        <w:t>地址</w:t>
      </w:r>
      <w:r>
        <w:rPr>
          <w:rFonts w:ascii="宋体" w:hAnsi="宋体"/>
          <w:i/>
          <w:sz w:val="24"/>
          <w:szCs w:val="24"/>
        </w:rPr>
        <w:t>。</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hint="eastAsia" w:ascii="宋体" w:hAnsi="宋体"/>
          <w:sz w:val="24"/>
          <w:szCs w:val="24"/>
        </w:rPr>
        <w:t>如乙方未能及时提供本条要求的船舶信息及动态通知，将导致无法及时办理合同结算，由此造成的风险及损失由乙方承担。</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卸货条款：</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卸船备妥通知书（NOR）：船舶到达卸货港范围内后</w:t>
      </w:r>
      <w:r>
        <w:rPr>
          <w:rFonts w:hint="eastAsia" w:ascii="宋体" w:hAnsi="宋体"/>
          <w:sz w:val="24"/>
          <w:szCs w:val="24"/>
        </w:rPr>
        <w:t>，</w:t>
      </w:r>
      <w:r>
        <w:rPr>
          <w:rFonts w:ascii="宋体" w:hAnsi="宋体"/>
          <w:sz w:val="24"/>
          <w:szCs w:val="24"/>
        </w:rPr>
        <w:t>任何时间可以递交NOR，包括节假日</w:t>
      </w:r>
      <w:r>
        <w:rPr>
          <w:rFonts w:hint="eastAsia" w:ascii="宋体" w:hAnsi="宋体"/>
          <w:sz w:val="24"/>
          <w:szCs w:val="24"/>
        </w:rPr>
        <w:t>，</w:t>
      </w:r>
      <w:r>
        <w:rPr>
          <w:rFonts w:ascii="宋体" w:hAnsi="宋体"/>
          <w:sz w:val="24"/>
          <w:szCs w:val="24"/>
        </w:rPr>
        <w:t>无论进港</w:t>
      </w:r>
      <w:r>
        <w:rPr>
          <w:rFonts w:hint="eastAsia" w:ascii="宋体" w:hAnsi="宋体"/>
          <w:sz w:val="24"/>
          <w:szCs w:val="24"/>
        </w:rPr>
        <w:t>/</w:t>
      </w:r>
      <w:r>
        <w:rPr>
          <w:rFonts w:ascii="宋体" w:hAnsi="宋体"/>
          <w:sz w:val="24"/>
          <w:szCs w:val="24"/>
        </w:rPr>
        <w:t>靠泊</w:t>
      </w:r>
      <w:r>
        <w:rPr>
          <w:rFonts w:hint="eastAsia" w:ascii="宋体" w:hAnsi="宋体"/>
          <w:sz w:val="24"/>
          <w:szCs w:val="24"/>
        </w:rPr>
        <w:t>/</w:t>
      </w:r>
      <w:r>
        <w:rPr>
          <w:rFonts w:ascii="宋体" w:hAnsi="宋体"/>
          <w:sz w:val="24"/>
          <w:szCs w:val="24"/>
        </w:rPr>
        <w:t>清关</w:t>
      </w:r>
      <w:r>
        <w:rPr>
          <w:rFonts w:hint="eastAsia" w:ascii="宋体" w:hAnsi="宋体"/>
          <w:sz w:val="24"/>
          <w:szCs w:val="24"/>
        </w:rPr>
        <w:t>/</w:t>
      </w:r>
      <w:r>
        <w:rPr>
          <w:rFonts w:ascii="宋体" w:hAnsi="宋体"/>
          <w:sz w:val="24"/>
          <w:szCs w:val="24"/>
        </w:rPr>
        <w:t>检疫与否。</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卸船时间：</w:t>
      </w:r>
    </w:p>
    <w:p>
      <w:pPr>
        <w:pStyle w:val="20"/>
        <w:spacing w:line="300" w:lineRule="exact"/>
        <w:ind w:left="1134" w:firstLine="0" w:firstLineChars="0"/>
        <w:outlineLvl w:val="0"/>
        <w:rPr>
          <w:rFonts w:ascii="宋体" w:hAnsi="宋体"/>
          <w:sz w:val="24"/>
          <w:szCs w:val="24"/>
        </w:rPr>
      </w:pPr>
      <w:r>
        <w:rPr>
          <w:rFonts w:hint="eastAsia" w:ascii="宋体" w:hAnsi="宋体"/>
          <w:sz w:val="24"/>
          <w:szCs w:val="24"/>
        </w:rPr>
        <w:t>锦州港，卸率</w:t>
      </w:r>
      <w:r>
        <w:rPr>
          <w:rFonts w:hint="eastAsia" w:ascii="宋体" w:hAnsi="宋体"/>
          <w:sz w:val="24"/>
          <w:szCs w:val="24"/>
          <w:highlight w:val="none"/>
        </w:rPr>
        <w:t>为</w:t>
      </w:r>
      <w:r>
        <w:rPr>
          <w:rFonts w:ascii="宋体" w:hAnsi="宋体"/>
          <w:sz w:val="24"/>
          <w:szCs w:val="24"/>
          <w:highlight w:val="none"/>
        </w:rPr>
        <w:t>1</w:t>
      </w:r>
      <w:r>
        <w:rPr>
          <w:rFonts w:hint="eastAsia" w:ascii="宋体" w:hAnsi="宋体"/>
          <w:sz w:val="24"/>
          <w:szCs w:val="24"/>
          <w:highlight w:val="none"/>
        </w:rPr>
        <w:t>2</w:t>
      </w:r>
      <w:r>
        <w:rPr>
          <w:rFonts w:ascii="宋体" w:hAnsi="宋体"/>
          <w:sz w:val="24"/>
          <w:szCs w:val="24"/>
          <w:highlight w:val="none"/>
        </w:rPr>
        <w:t>,000吨</w:t>
      </w:r>
      <w:r>
        <w:rPr>
          <w:rFonts w:ascii="宋体" w:hAnsi="宋体"/>
          <w:sz w:val="24"/>
          <w:szCs w:val="24"/>
        </w:rPr>
        <w:t>PWWD SHINC</w:t>
      </w:r>
      <w:r>
        <w:rPr>
          <w:rFonts w:hint="eastAsia" w:ascii="宋体" w:hAnsi="宋体"/>
          <w:sz w:val="24"/>
          <w:szCs w:val="24"/>
        </w:rPr>
        <w:t>。</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任何原因引起的时间损失都算作卸货时间，但以下损失除外，无论滞期与否：</w:t>
      </w:r>
    </w:p>
    <w:p>
      <w:pPr>
        <w:pStyle w:val="20"/>
        <w:numPr>
          <w:ilvl w:val="3"/>
          <w:numId w:val="1"/>
        </w:numPr>
        <w:tabs>
          <w:tab w:val="left" w:pos="2127"/>
          <w:tab w:val="left" w:pos="2268"/>
        </w:tabs>
        <w:spacing w:line="300" w:lineRule="exact"/>
        <w:ind w:left="851" w:firstLine="283" w:firstLineChars="0"/>
        <w:outlineLvl w:val="0"/>
        <w:rPr>
          <w:rFonts w:ascii="宋体" w:hAnsi="宋体"/>
          <w:sz w:val="24"/>
          <w:szCs w:val="24"/>
        </w:rPr>
      </w:pPr>
      <w:r>
        <w:rPr>
          <w:rFonts w:hint="eastAsia" w:ascii="宋体" w:hAnsi="宋体"/>
          <w:sz w:val="24"/>
          <w:szCs w:val="24"/>
        </w:rPr>
        <w:t>乙方办理申报手续的等待时间</w:t>
      </w:r>
      <w:r>
        <w:rPr>
          <w:rFonts w:ascii="宋体" w:hAnsi="宋体"/>
          <w:sz w:val="24"/>
          <w:szCs w:val="24"/>
        </w:rPr>
        <w:t>。</w:t>
      </w:r>
    </w:p>
    <w:p>
      <w:pPr>
        <w:pStyle w:val="20"/>
        <w:numPr>
          <w:ilvl w:val="3"/>
          <w:numId w:val="1"/>
        </w:numPr>
        <w:tabs>
          <w:tab w:val="left" w:pos="2127"/>
          <w:tab w:val="left" w:pos="2268"/>
        </w:tabs>
        <w:spacing w:line="300" w:lineRule="exact"/>
        <w:ind w:left="851" w:firstLine="283" w:firstLineChars="0"/>
        <w:outlineLvl w:val="0"/>
        <w:rPr>
          <w:rFonts w:ascii="宋体" w:hAnsi="宋体"/>
          <w:sz w:val="24"/>
          <w:szCs w:val="24"/>
        </w:rPr>
      </w:pPr>
      <w:r>
        <w:rPr>
          <w:rFonts w:ascii="宋体" w:hAnsi="宋体"/>
          <w:sz w:val="24"/>
          <w:szCs w:val="24"/>
        </w:rPr>
        <w:t>不可抗力而损失的时间</w:t>
      </w:r>
      <w:r>
        <w:rPr>
          <w:rFonts w:hint="eastAsia" w:ascii="宋体" w:hAnsi="宋体"/>
          <w:sz w:val="24"/>
          <w:szCs w:val="24"/>
        </w:rPr>
        <w:t>，包括但不限于大风、大雾、大雨和台风等。</w:t>
      </w:r>
    </w:p>
    <w:p>
      <w:pPr>
        <w:pStyle w:val="20"/>
        <w:numPr>
          <w:ilvl w:val="3"/>
          <w:numId w:val="1"/>
        </w:numPr>
        <w:tabs>
          <w:tab w:val="left" w:pos="2127"/>
          <w:tab w:val="left" w:pos="2268"/>
        </w:tabs>
        <w:spacing w:line="300" w:lineRule="exact"/>
        <w:ind w:left="851" w:firstLine="283" w:firstLineChars="0"/>
        <w:outlineLvl w:val="0"/>
        <w:rPr>
          <w:rFonts w:ascii="宋体" w:hAnsi="宋体"/>
          <w:sz w:val="24"/>
          <w:szCs w:val="24"/>
        </w:rPr>
      </w:pPr>
      <w:r>
        <w:rPr>
          <w:rFonts w:ascii="宋体" w:hAnsi="宋体"/>
          <w:sz w:val="24"/>
          <w:szCs w:val="24"/>
        </w:rPr>
        <w:t>船舶从锚地（包括CJK</w:t>
      </w:r>
      <w:r>
        <w:rPr>
          <w:rFonts w:hint="eastAsia" w:ascii="宋体" w:hAnsi="宋体"/>
          <w:sz w:val="24"/>
          <w:szCs w:val="24"/>
        </w:rPr>
        <w:t>锚地</w:t>
      </w:r>
      <w:r>
        <w:rPr>
          <w:rFonts w:ascii="宋体" w:hAnsi="宋体"/>
          <w:sz w:val="24"/>
          <w:szCs w:val="24"/>
        </w:rPr>
        <w:t>）移往泊位直至靠妥/准卸前的时间。</w:t>
      </w:r>
    </w:p>
    <w:p>
      <w:pPr>
        <w:pStyle w:val="20"/>
        <w:numPr>
          <w:ilvl w:val="3"/>
          <w:numId w:val="1"/>
        </w:numPr>
        <w:tabs>
          <w:tab w:val="left" w:pos="2127"/>
          <w:tab w:val="left" w:pos="2268"/>
        </w:tabs>
        <w:spacing w:line="300" w:lineRule="exact"/>
        <w:ind w:left="851" w:firstLine="283" w:firstLineChars="0"/>
        <w:outlineLvl w:val="0"/>
        <w:rPr>
          <w:rFonts w:ascii="宋体" w:hAnsi="宋体"/>
          <w:sz w:val="24"/>
          <w:szCs w:val="24"/>
        </w:rPr>
      </w:pPr>
      <w:r>
        <w:rPr>
          <w:rFonts w:ascii="宋体" w:hAnsi="宋体"/>
          <w:sz w:val="24"/>
          <w:szCs w:val="24"/>
        </w:rPr>
        <w:t>因船舶参数不符合卸货港条件，产生的额外卸货时间。</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船舶滞期后的</w:t>
      </w:r>
      <w:r>
        <w:rPr>
          <w:rFonts w:hint="eastAsia" w:ascii="宋体" w:hAnsi="宋体"/>
          <w:sz w:val="24"/>
          <w:szCs w:val="24"/>
        </w:rPr>
        <w:t>其它</w:t>
      </w:r>
      <w:r>
        <w:rPr>
          <w:rFonts w:ascii="宋体" w:hAnsi="宋体"/>
          <w:sz w:val="24"/>
          <w:szCs w:val="24"/>
        </w:rPr>
        <w:t>损失时间应作为滞期时间连续计算。</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hint="eastAsia" w:ascii="宋体" w:hAnsi="宋体"/>
          <w:sz w:val="24"/>
          <w:szCs w:val="24"/>
        </w:rPr>
        <w:t>船舶</w:t>
      </w:r>
      <w:r>
        <w:rPr>
          <w:rFonts w:ascii="宋体" w:hAnsi="宋体"/>
          <w:sz w:val="24"/>
          <w:szCs w:val="24"/>
        </w:rPr>
        <w:t>于</w:t>
      </w:r>
      <w:r>
        <w:rPr>
          <w:rFonts w:hint="eastAsia" w:ascii="宋体" w:hAnsi="宋体"/>
          <w:sz w:val="24"/>
          <w:szCs w:val="24"/>
        </w:rPr>
        <w:t>合同</w:t>
      </w:r>
      <w:r>
        <w:fldChar w:fldCharType="begin"/>
      </w:r>
      <w:r>
        <w:instrText xml:space="preserve"> HYPERLINK \l "到货期限" </w:instrText>
      </w:r>
      <w:r>
        <w:fldChar w:fldCharType="separate"/>
      </w:r>
      <w:r>
        <w:rPr>
          <w:rStyle w:val="13"/>
          <w:rFonts w:hint="eastAsia" w:ascii="宋体" w:hAnsi="宋体"/>
          <w:color w:val="auto"/>
          <w:sz w:val="24"/>
          <w:szCs w:val="24"/>
        </w:rPr>
        <w:t>2</w:t>
      </w:r>
      <w:r>
        <w:rPr>
          <w:rStyle w:val="13"/>
          <w:rFonts w:ascii="宋体" w:hAnsi="宋体"/>
          <w:color w:val="auto"/>
          <w:sz w:val="24"/>
          <w:szCs w:val="24"/>
        </w:rPr>
        <w:t>.1</w:t>
      </w:r>
      <w:r>
        <w:rPr>
          <w:rStyle w:val="13"/>
          <w:rFonts w:ascii="宋体" w:hAnsi="宋体"/>
          <w:color w:val="auto"/>
          <w:sz w:val="24"/>
          <w:szCs w:val="24"/>
        </w:rPr>
        <w:fldChar w:fldCharType="end"/>
      </w:r>
      <w:r>
        <w:rPr>
          <w:rFonts w:hint="eastAsia" w:ascii="宋体" w:hAnsi="宋体"/>
          <w:sz w:val="24"/>
          <w:szCs w:val="24"/>
        </w:rPr>
        <w:t>条约定的</w:t>
      </w:r>
      <w:r>
        <w:rPr>
          <w:rFonts w:ascii="宋体" w:hAnsi="宋体"/>
          <w:sz w:val="24"/>
          <w:szCs w:val="24"/>
        </w:rPr>
        <w:t>交货期限内</w:t>
      </w:r>
      <w:r>
        <w:rPr>
          <w:rFonts w:hint="eastAsia" w:ascii="宋体" w:hAnsi="宋体"/>
          <w:sz w:val="24"/>
          <w:szCs w:val="24"/>
        </w:rPr>
        <w:t>抵达</w:t>
      </w:r>
      <w:r>
        <w:rPr>
          <w:rFonts w:ascii="宋体" w:hAnsi="宋体"/>
          <w:sz w:val="24"/>
          <w:szCs w:val="24"/>
        </w:rPr>
        <w:t>卸货港，卸船时间自乙方递交NOR</w:t>
      </w:r>
      <w:r>
        <w:rPr>
          <w:rFonts w:hint="eastAsia" w:ascii="宋体" w:hAnsi="宋体"/>
          <w:sz w:val="24"/>
          <w:szCs w:val="24"/>
        </w:rPr>
        <w:t>后</w:t>
      </w:r>
      <w:r>
        <w:rPr>
          <w:rFonts w:ascii="宋体" w:hAnsi="宋体"/>
          <w:sz w:val="24"/>
          <w:szCs w:val="24"/>
          <w:u w:val="single"/>
        </w:rPr>
        <w:t>12</w:t>
      </w:r>
      <w:r>
        <w:rPr>
          <w:rFonts w:ascii="宋体" w:hAnsi="宋体"/>
          <w:sz w:val="24"/>
          <w:szCs w:val="24"/>
        </w:rPr>
        <w:t>小时起算；早于交货期限</w:t>
      </w:r>
      <w:r>
        <w:rPr>
          <w:rFonts w:hint="eastAsia" w:ascii="宋体" w:hAnsi="宋体"/>
          <w:sz w:val="24"/>
          <w:szCs w:val="24"/>
        </w:rPr>
        <w:t>抵港</w:t>
      </w:r>
      <w:r>
        <w:rPr>
          <w:rFonts w:ascii="宋体" w:hAnsi="宋体"/>
          <w:sz w:val="24"/>
          <w:szCs w:val="24"/>
        </w:rPr>
        <w:t>，有效NOR以</w:t>
      </w:r>
      <w:r>
        <w:rPr>
          <w:rFonts w:hint="eastAsia" w:ascii="宋体" w:hAnsi="宋体"/>
          <w:sz w:val="24"/>
          <w:szCs w:val="24"/>
        </w:rPr>
        <w:t>交货期限</w:t>
      </w:r>
      <w:r>
        <w:rPr>
          <w:rFonts w:ascii="宋体" w:hAnsi="宋体"/>
          <w:sz w:val="24"/>
          <w:szCs w:val="24"/>
        </w:rPr>
        <w:t>首日零点起算，卸船时间以</w:t>
      </w:r>
      <w:r>
        <w:rPr>
          <w:rFonts w:hint="eastAsia" w:ascii="宋体" w:hAnsi="宋体"/>
          <w:sz w:val="24"/>
          <w:szCs w:val="24"/>
        </w:rPr>
        <w:t>交货期限</w:t>
      </w:r>
      <w:r>
        <w:rPr>
          <w:rFonts w:ascii="宋体" w:hAnsi="宋体"/>
          <w:sz w:val="24"/>
          <w:szCs w:val="24"/>
        </w:rPr>
        <w:t>首日</w:t>
      </w:r>
      <w:r>
        <w:rPr>
          <w:rFonts w:ascii="宋体" w:hAnsi="宋体"/>
          <w:sz w:val="24"/>
          <w:szCs w:val="24"/>
          <w:u w:val="single"/>
        </w:rPr>
        <w:t>12:00</w:t>
      </w:r>
      <w:r>
        <w:rPr>
          <w:rFonts w:ascii="宋体" w:hAnsi="宋体"/>
          <w:sz w:val="24"/>
          <w:szCs w:val="24"/>
        </w:rPr>
        <w:t>起算，若提前卸货则自实际卸货时起算；晚于交货期限</w:t>
      </w:r>
      <w:r>
        <w:rPr>
          <w:rFonts w:hint="eastAsia" w:ascii="宋体" w:hAnsi="宋体"/>
          <w:sz w:val="24"/>
          <w:szCs w:val="24"/>
        </w:rPr>
        <w:t>抵港</w:t>
      </w:r>
      <w:r>
        <w:rPr>
          <w:rFonts w:ascii="宋体" w:hAnsi="宋体"/>
          <w:sz w:val="24"/>
          <w:szCs w:val="24"/>
        </w:rPr>
        <w:t>，</w:t>
      </w:r>
      <w:r>
        <w:rPr>
          <w:rFonts w:hint="eastAsia" w:ascii="宋体" w:hAnsi="宋体"/>
          <w:sz w:val="24"/>
          <w:szCs w:val="24"/>
        </w:rPr>
        <w:t>从开始卸货起算卸货时间。卸货结束时间以船舶卸空为止的时间为准。</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ascii="宋体" w:hAnsi="宋体"/>
          <w:sz w:val="24"/>
          <w:szCs w:val="24"/>
        </w:rPr>
        <w:t>滞期</w:t>
      </w:r>
      <w:r>
        <w:rPr>
          <w:rFonts w:hint="eastAsia" w:ascii="宋体" w:hAnsi="宋体"/>
          <w:sz w:val="24"/>
          <w:szCs w:val="24"/>
        </w:rPr>
        <w:t>/速遣</w:t>
      </w:r>
      <w:r>
        <w:rPr>
          <w:rFonts w:ascii="宋体" w:hAnsi="宋体"/>
          <w:sz w:val="24"/>
          <w:szCs w:val="24"/>
        </w:rPr>
        <w:t>费：若甲方在允许卸船时间内未能将货卸完，甲方应向乙方支付滞期费</w:t>
      </w:r>
      <w:r>
        <w:rPr>
          <w:rFonts w:hint="eastAsia" w:ascii="宋体" w:hAnsi="宋体"/>
          <w:sz w:val="24"/>
          <w:szCs w:val="24"/>
        </w:rPr>
        <w:t>，</w:t>
      </w:r>
      <w:r>
        <w:rPr>
          <w:rFonts w:ascii="宋体" w:hAnsi="宋体"/>
          <w:sz w:val="24"/>
          <w:szCs w:val="24"/>
        </w:rPr>
        <w:t>按允许卸船时间终止后全部损失时间计算</w:t>
      </w:r>
      <w:r>
        <w:rPr>
          <w:rFonts w:hint="eastAsia" w:ascii="宋体" w:hAnsi="宋体"/>
          <w:sz w:val="24"/>
          <w:szCs w:val="24"/>
        </w:rPr>
        <w:t>；</w:t>
      </w:r>
      <w:r>
        <w:rPr>
          <w:rFonts w:ascii="宋体" w:hAnsi="宋体"/>
          <w:sz w:val="24"/>
          <w:szCs w:val="24"/>
        </w:rPr>
        <w:t>若甲方在允许卸船时间内提前将货卸完，乙方应向甲方支付速遣费</w:t>
      </w:r>
      <w:r>
        <w:rPr>
          <w:rFonts w:hint="eastAsia" w:ascii="宋体" w:hAnsi="宋体"/>
          <w:sz w:val="24"/>
          <w:szCs w:val="24"/>
        </w:rPr>
        <w:t>，</w:t>
      </w:r>
      <w:r>
        <w:rPr>
          <w:rFonts w:ascii="宋体" w:hAnsi="宋体"/>
          <w:sz w:val="24"/>
          <w:szCs w:val="24"/>
        </w:rPr>
        <w:t>按允许卸船时间终止前</w:t>
      </w:r>
      <w:r>
        <w:rPr>
          <w:rFonts w:hint="eastAsia" w:ascii="宋体" w:hAnsi="宋体"/>
          <w:sz w:val="24"/>
          <w:szCs w:val="24"/>
        </w:rPr>
        <w:t>的</w:t>
      </w:r>
      <w:r>
        <w:rPr>
          <w:rFonts w:ascii="宋体" w:hAnsi="宋体"/>
          <w:sz w:val="24"/>
          <w:szCs w:val="24"/>
        </w:rPr>
        <w:t>全部节省时间计算。</w:t>
      </w:r>
    </w:p>
    <w:p>
      <w:pPr>
        <w:pStyle w:val="20"/>
        <w:numPr>
          <w:ilvl w:val="2"/>
          <w:numId w:val="1"/>
        </w:numPr>
        <w:tabs>
          <w:tab w:val="left" w:pos="1560"/>
        </w:tabs>
        <w:spacing w:line="300" w:lineRule="exact"/>
        <w:ind w:left="426" w:firstLine="425" w:firstLineChars="0"/>
        <w:outlineLvl w:val="0"/>
        <w:rPr>
          <w:rFonts w:ascii="宋体" w:hAnsi="宋体"/>
          <w:sz w:val="24"/>
          <w:szCs w:val="24"/>
        </w:rPr>
      </w:pPr>
      <w:bookmarkStart w:id="18" w:name="SOF"/>
      <w:bookmarkEnd w:id="18"/>
      <w:r>
        <w:rPr>
          <w:rFonts w:ascii="宋体" w:hAnsi="宋体"/>
          <w:sz w:val="24"/>
          <w:szCs w:val="24"/>
        </w:rPr>
        <w:t>滞期/速遣费率：</w:t>
      </w:r>
      <w:r>
        <w:rPr>
          <w:rStyle w:val="40"/>
        </w:rPr>
        <w:t>见“附件一：船舶信息”。</w:t>
      </w:r>
      <w:r>
        <w:rPr>
          <w:rFonts w:ascii="宋体" w:hAnsi="宋体"/>
          <w:sz w:val="24"/>
          <w:szCs w:val="24"/>
        </w:rPr>
        <w:t>滞期、速遣费在船舶</w:t>
      </w:r>
      <w:r>
        <w:rPr>
          <w:rFonts w:hint="eastAsia" w:ascii="宋体" w:hAnsi="宋体"/>
          <w:sz w:val="24"/>
          <w:szCs w:val="24"/>
        </w:rPr>
        <w:t>离开</w:t>
      </w:r>
      <w:r>
        <w:rPr>
          <w:rFonts w:ascii="宋体" w:hAnsi="宋体"/>
          <w:sz w:val="24"/>
          <w:szCs w:val="24"/>
        </w:rPr>
        <w:t>卸货港后与</w:t>
      </w:r>
      <w:r>
        <w:rPr>
          <w:rFonts w:hint="eastAsia" w:ascii="宋体" w:hAnsi="宋体"/>
          <w:sz w:val="24"/>
          <w:szCs w:val="24"/>
        </w:rPr>
        <w:t>合同</w:t>
      </w:r>
      <w:r>
        <w:rPr>
          <w:rFonts w:ascii="宋体" w:hAnsi="宋体"/>
          <w:sz w:val="24"/>
          <w:szCs w:val="24"/>
        </w:rPr>
        <w:t>款一并结算。滞期、速遣费用的计算以卸货港船舶代理出具的船舶事实记录（SOF）为依据。</w:t>
      </w:r>
      <w:r>
        <w:rPr>
          <w:rFonts w:hint="eastAsia" w:ascii="宋体" w:hAnsi="宋体"/>
          <w:sz w:val="24"/>
          <w:szCs w:val="24"/>
        </w:rPr>
        <w:t>滞期费率参照市场水平，费率上限原则上为交货期前15天及前后1天（对应P3A/S10_58指数平均日租金+USD3</w:t>
      </w:r>
      <w:r>
        <w:rPr>
          <w:rFonts w:ascii="宋体" w:hAnsi="宋体"/>
          <w:sz w:val="24"/>
          <w:szCs w:val="24"/>
        </w:rPr>
        <w:t>,</w:t>
      </w:r>
      <w:r>
        <w:rPr>
          <w:rFonts w:hint="eastAsia" w:ascii="宋体" w:hAnsi="宋体"/>
          <w:sz w:val="24"/>
          <w:szCs w:val="24"/>
        </w:rPr>
        <w:t>000）。</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hint="eastAsia" w:ascii="宋体" w:hAnsi="宋体"/>
          <w:sz w:val="24"/>
          <w:szCs w:val="24"/>
        </w:rPr>
        <w:t>若船舶于合同</w:t>
      </w:r>
      <w:r>
        <w:fldChar w:fldCharType="begin"/>
      </w:r>
      <w:r>
        <w:instrText xml:space="preserve"> HYPERLINK \l "到货期限" </w:instrText>
      </w:r>
      <w:r>
        <w:fldChar w:fldCharType="separate"/>
      </w:r>
      <w:r>
        <w:rPr>
          <w:rStyle w:val="13"/>
          <w:rFonts w:hint="eastAsia" w:ascii="宋体" w:hAnsi="宋体"/>
          <w:color w:val="auto"/>
          <w:sz w:val="24"/>
          <w:szCs w:val="24"/>
        </w:rPr>
        <w:t>2.1</w:t>
      </w:r>
      <w:r>
        <w:rPr>
          <w:rStyle w:val="13"/>
          <w:rFonts w:hint="eastAsia" w:ascii="宋体" w:hAnsi="宋体"/>
          <w:color w:val="auto"/>
          <w:sz w:val="24"/>
          <w:szCs w:val="24"/>
        </w:rPr>
        <w:fldChar w:fldCharType="end"/>
      </w:r>
      <w:r>
        <w:rPr>
          <w:rFonts w:hint="eastAsia" w:ascii="宋体" w:hAnsi="宋体"/>
          <w:sz w:val="24"/>
          <w:szCs w:val="24"/>
        </w:rPr>
        <w:t>条约定的交货期限内抵达卸货港，正常计算滞期速遣费；早于交货期限抵达卸货港的，从交货期限首日</w:t>
      </w:r>
      <w:r>
        <w:rPr>
          <w:rFonts w:hint="eastAsia" w:ascii="宋体" w:hAnsi="宋体"/>
          <w:sz w:val="24"/>
          <w:szCs w:val="24"/>
          <w:u w:val="single"/>
        </w:rPr>
        <w:t>12:00</w:t>
      </w:r>
      <w:r>
        <w:rPr>
          <w:rFonts w:hint="eastAsia" w:ascii="宋体" w:hAnsi="宋体"/>
          <w:sz w:val="24"/>
          <w:szCs w:val="24"/>
        </w:rPr>
        <w:t>起算卸货时间，若</w:t>
      </w:r>
      <w:bookmarkStart w:id="19" w:name="_Hlk89360472"/>
      <w:r>
        <w:rPr>
          <w:rFonts w:hint="eastAsia" w:ascii="宋体" w:hAnsi="宋体"/>
          <w:sz w:val="24"/>
          <w:szCs w:val="24"/>
        </w:rPr>
        <w:t>电厂</w:t>
      </w:r>
      <w:bookmarkEnd w:id="19"/>
      <w:r>
        <w:rPr>
          <w:rFonts w:hint="eastAsia" w:ascii="宋体" w:hAnsi="宋体"/>
          <w:sz w:val="24"/>
          <w:szCs w:val="24"/>
        </w:rPr>
        <w:t>提前卸货，卸货时间从卸货开始时间起算，直至卸货结束截止；若晚于交货期限抵港，甲方有权按照计划内到达船舶优先靠泊的原则卸货，从卸货开始起算卸货时间，至卸货完毕时止。</w:t>
      </w:r>
    </w:p>
    <w:p>
      <w:pPr>
        <w:pStyle w:val="20"/>
        <w:numPr>
          <w:ilvl w:val="2"/>
          <w:numId w:val="1"/>
        </w:numPr>
        <w:tabs>
          <w:tab w:val="left" w:pos="1560"/>
        </w:tabs>
        <w:spacing w:line="300" w:lineRule="exact"/>
        <w:ind w:left="426" w:firstLine="425" w:firstLineChars="0"/>
        <w:outlineLvl w:val="0"/>
        <w:rPr>
          <w:rFonts w:ascii="宋体" w:hAnsi="宋体"/>
          <w:sz w:val="24"/>
          <w:szCs w:val="24"/>
        </w:rPr>
      </w:pPr>
      <w:r>
        <w:rPr>
          <w:rFonts w:hint="eastAsia" w:ascii="宋体" w:hAnsi="宋体"/>
          <w:sz w:val="24"/>
          <w:szCs w:val="24"/>
        </w:rPr>
        <w:t>若</w:t>
      </w:r>
      <w:r>
        <w:rPr>
          <w:rFonts w:ascii="宋体" w:hAnsi="宋体"/>
          <w:sz w:val="24"/>
          <w:szCs w:val="24"/>
        </w:rPr>
        <w:t>由于船舶故障或乙方其他原因影响</w:t>
      </w:r>
      <w:r>
        <w:rPr>
          <w:rFonts w:hint="eastAsia" w:ascii="宋体" w:hAnsi="宋体"/>
          <w:sz w:val="24"/>
          <w:szCs w:val="24"/>
        </w:rPr>
        <w:t>卸货港</w:t>
      </w:r>
      <w:r>
        <w:rPr>
          <w:rFonts w:ascii="宋体" w:hAnsi="宋体"/>
          <w:sz w:val="24"/>
          <w:szCs w:val="24"/>
        </w:rPr>
        <w:t>卸货速度的船舶，按航运惯例进行调整：在影响期间内，按</w:t>
      </w:r>
      <w:r>
        <w:rPr>
          <w:rFonts w:hint="eastAsia" w:ascii="宋体" w:hAnsi="宋体"/>
          <w:sz w:val="24"/>
          <w:szCs w:val="24"/>
        </w:rPr>
        <w:t>故障舱数/总舱数</w:t>
      </w:r>
      <w:r>
        <w:rPr>
          <w:rFonts w:ascii="宋体" w:hAnsi="宋体"/>
          <w:sz w:val="24"/>
          <w:szCs w:val="24"/>
        </w:rPr>
        <w:t>比例扣减卸货港作业卸率；</w:t>
      </w:r>
      <w:r>
        <w:rPr>
          <w:rFonts w:hint="eastAsia" w:ascii="宋体" w:hAnsi="宋体"/>
          <w:sz w:val="24"/>
          <w:szCs w:val="24"/>
        </w:rPr>
        <w:t>若由</w:t>
      </w:r>
      <w:r>
        <w:rPr>
          <w:rFonts w:ascii="宋体" w:hAnsi="宋体"/>
          <w:sz w:val="24"/>
          <w:szCs w:val="24"/>
        </w:rPr>
        <w:t>于船舶故障致使出现作业延迟或离港延迟，由乙方承担直接时间</w:t>
      </w:r>
      <w:r>
        <w:rPr>
          <w:rFonts w:hint="eastAsia" w:ascii="宋体" w:hAnsi="宋体"/>
          <w:sz w:val="24"/>
          <w:szCs w:val="24"/>
        </w:rPr>
        <w:t>/费用</w:t>
      </w:r>
      <w:r>
        <w:rPr>
          <w:rFonts w:ascii="宋体" w:hAnsi="宋体"/>
          <w:sz w:val="24"/>
          <w:szCs w:val="24"/>
        </w:rPr>
        <w:t>损失。</w:t>
      </w:r>
    </w:p>
    <w:p>
      <w:pPr>
        <w:pStyle w:val="20"/>
        <w:numPr>
          <w:ilvl w:val="2"/>
          <w:numId w:val="1"/>
        </w:numPr>
        <w:tabs>
          <w:tab w:val="left" w:pos="1843"/>
        </w:tabs>
        <w:spacing w:line="300" w:lineRule="exact"/>
        <w:ind w:left="426" w:firstLine="425" w:firstLineChars="0"/>
        <w:outlineLvl w:val="0"/>
        <w:rPr>
          <w:rFonts w:ascii="宋体" w:hAnsi="宋体"/>
          <w:sz w:val="24"/>
          <w:szCs w:val="24"/>
        </w:rPr>
      </w:pPr>
      <w:r>
        <w:rPr>
          <w:rFonts w:hint="eastAsia" w:ascii="宋体" w:hAnsi="宋体"/>
          <w:sz w:val="24"/>
          <w:szCs w:val="24"/>
        </w:rPr>
        <w:t>若由于乙方所供煤炭中含有石块、铁块、木块、大煤块等杂物或煤炭粘堵、扬尘等原因，或船舶自身原因或故障，须扣除导致卸货港卸船困难的作业时间，不论滞期与否。</w:t>
      </w:r>
      <w:bookmarkStart w:id="20" w:name="_Hlk28358927"/>
      <w:r>
        <w:rPr>
          <w:rFonts w:hint="eastAsia" w:ascii="宋体" w:hAnsi="宋体"/>
          <w:sz w:val="24"/>
          <w:szCs w:val="24"/>
        </w:rPr>
        <w:t>若在</w:t>
      </w:r>
      <w:r>
        <w:rPr>
          <w:rFonts w:hint="eastAsia" w:ascii="宋体" w:hAnsi="宋体"/>
          <w:sz w:val="24"/>
        </w:rPr>
        <w:t>大唐电子采购平台（</w:t>
      </w:r>
      <w:r>
        <w:fldChar w:fldCharType="begin"/>
      </w:r>
      <w:r>
        <w:instrText xml:space="preserve"> HYPERLINK "http://www.dtrlcg.com" </w:instrText>
      </w:r>
      <w:r>
        <w:fldChar w:fldCharType="separate"/>
      </w:r>
      <w:r>
        <w:rPr>
          <w:rStyle w:val="13"/>
          <w:rFonts w:hint="eastAsia" w:ascii="宋体" w:hAnsi="宋体"/>
          <w:i/>
          <w:color w:val="auto"/>
          <w:sz w:val="24"/>
        </w:rPr>
        <w:t>w</w:t>
      </w:r>
      <w:r>
        <w:rPr>
          <w:rStyle w:val="13"/>
          <w:rFonts w:ascii="宋体" w:hAnsi="宋体"/>
          <w:i/>
          <w:color w:val="auto"/>
          <w:sz w:val="24"/>
        </w:rPr>
        <w:t>ww.dtrlcg.com</w:t>
      </w:r>
      <w:r>
        <w:rPr>
          <w:rStyle w:val="13"/>
          <w:rFonts w:ascii="宋体" w:hAnsi="宋体"/>
          <w:i/>
          <w:color w:val="auto"/>
          <w:sz w:val="24"/>
        </w:rPr>
        <w:fldChar w:fldCharType="end"/>
      </w:r>
      <w:r>
        <w:rPr>
          <w:rFonts w:hint="eastAsia" w:ascii="宋体" w:hAnsi="宋体"/>
          <w:sz w:val="24"/>
        </w:rPr>
        <w:t>）的相应竞价公告及/或本合同第</w:t>
      </w:r>
      <w:r>
        <w:rPr>
          <w:rFonts w:hint="eastAsia" w:ascii="宋体" w:hAnsi="宋体"/>
          <w:sz w:val="24"/>
          <w:u w:val="single"/>
        </w:rPr>
        <w:t>8.3</w:t>
      </w:r>
      <w:r>
        <w:rPr>
          <w:rFonts w:hint="eastAsia" w:ascii="宋体" w:hAnsi="宋体"/>
          <w:sz w:val="24"/>
        </w:rPr>
        <w:t>条</w:t>
      </w:r>
      <w:r>
        <w:rPr>
          <w:rFonts w:hint="eastAsia" w:ascii="宋体" w:hAnsi="宋体"/>
          <w:sz w:val="24"/>
          <w:szCs w:val="24"/>
        </w:rPr>
        <w:t>中约定由乙方承担滞期费的，由乙方自行承担船舶滞期/速遣费。</w:t>
      </w:r>
      <w:bookmarkEnd w:id="20"/>
    </w:p>
    <w:p>
      <w:pPr>
        <w:pStyle w:val="20"/>
        <w:numPr>
          <w:ilvl w:val="1"/>
          <w:numId w:val="1"/>
        </w:numPr>
        <w:tabs>
          <w:tab w:val="left" w:pos="993"/>
        </w:tabs>
        <w:spacing w:line="300" w:lineRule="exact"/>
        <w:ind w:left="0" w:firstLine="480"/>
        <w:outlineLvl w:val="0"/>
        <w:rPr>
          <w:rFonts w:ascii="宋体" w:hAnsi="宋体"/>
          <w:sz w:val="24"/>
          <w:szCs w:val="24"/>
        </w:rPr>
      </w:pPr>
      <w:r>
        <w:rPr>
          <w:rFonts w:ascii="宋体" w:hAnsi="宋体"/>
          <w:sz w:val="24"/>
          <w:szCs w:val="24"/>
        </w:rPr>
        <w:t>货物所有权及风险转移</w:t>
      </w:r>
      <w:r>
        <w:rPr>
          <w:rFonts w:hint="eastAsia" w:ascii="宋体" w:hAnsi="宋体"/>
          <w:sz w:val="24"/>
          <w:szCs w:val="24"/>
        </w:rPr>
        <w:t>：</w:t>
      </w:r>
      <w:r>
        <w:rPr>
          <w:rFonts w:ascii="宋体" w:hAnsi="宋体"/>
          <w:sz w:val="24"/>
          <w:szCs w:val="24"/>
        </w:rPr>
        <w:t>合同货物在卸货港卸货越过船舷的时间视为乙方交货时间，货物所有权及风险自货物越过卸货港船舷后转让至甲方。</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乙方的声明与保证</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乙方保证对出售给甲方的合同货物拥有完全权利，且该货物未被设置任何质押</w:t>
      </w:r>
      <w:r>
        <w:rPr>
          <w:rFonts w:hint="eastAsia" w:ascii="宋体" w:hAnsi="宋体"/>
          <w:sz w:val="24"/>
          <w:szCs w:val="24"/>
        </w:rPr>
        <w:t>、</w:t>
      </w:r>
      <w:r>
        <w:rPr>
          <w:rFonts w:ascii="宋体" w:hAnsi="宋体"/>
          <w:sz w:val="24"/>
          <w:szCs w:val="24"/>
        </w:rPr>
        <w:t>其他担保或任何权利限制，不会导致甲方遭受任何第三方就全部或部分货物提出任何权利主张；否则，甲方有权</w:t>
      </w:r>
      <w:r>
        <w:rPr>
          <w:rFonts w:hint="eastAsia" w:ascii="宋体" w:hAnsi="宋体"/>
          <w:sz w:val="24"/>
          <w:szCs w:val="24"/>
        </w:rPr>
        <w:t>选择</w:t>
      </w:r>
      <w:r>
        <w:rPr>
          <w:rFonts w:ascii="宋体" w:hAnsi="宋体"/>
          <w:sz w:val="24"/>
          <w:szCs w:val="24"/>
        </w:rPr>
        <w:t>停止付款</w:t>
      </w:r>
      <w:r>
        <w:rPr>
          <w:rFonts w:hint="eastAsia" w:ascii="宋体" w:hAnsi="宋体"/>
          <w:sz w:val="24"/>
          <w:szCs w:val="24"/>
        </w:rPr>
        <w:t>，</w:t>
      </w:r>
      <w:r>
        <w:rPr>
          <w:rFonts w:ascii="宋体" w:hAnsi="宋体"/>
          <w:sz w:val="24"/>
          <w:szCs w:val="24"/>
        </w:rPr>
        <w:t>终止本合同，要求乙方返还已付相关款项并主张损失赔偿，包括但不限于甲方的直接损失、利润损失、购买替代煤炭的差价以及由此给</w:t>
      </w:r>
      <w:r>
        <w:rPr>
          <w:rFonts w:hint="eastAsia" w:ascii="宋体" w:hAnsi="宋体"/>
          <w:sz w:val="24"/>
          <w:szCs w:val="24"/>
        </w:rPr>
        <w:t>甲方</w:t>
      </w:r>
      <w:r>
        <w:rPr>
          <w:rFonts w:ascii="宋体" w:hAnsi="宋体"/>
          <w:sz w:val="24"/>
          <w:szCs w:val="24"/>
        </w:rPr>
        <w:t>造成的生产延误损失。</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乙方保证合同</w:t>
      </w:r>
      <w:r>
        <w:rPr>
          <w:rFonts w:hint="eastAsia" w:ascii="宋体" w:hAnsi="宋体"/>
          <w:sz w:val="24"/>
          <w:szCs w:val="24"/>
        </w:rPr>
        <w:t>货物</w:t>
      </w:r>
      <w:r>
        <w:rPr>
          <w:rFonts w:ascii="宋体" w:hAnsi="宋体"/>
          <w:sz w:val="24"/>
          <w:szCs w:val="24"/>
        </w:rPr>
        <w:t>不存在与任何第三方</w:t>
      </w:r>
      <w:r>
        <w:rPr>
          <w:rFonts w:hint="eastAsia" w:ascii="宋体" w:hAnsi="宋体"/>
          <w:sz w:val="24"/>
          <w:szCs w:val="24"/>
        </w:rPr>
        <w:t>的</w:t>
      </w:r>
      <w:r>
        <w:rPr>
          <w:rFonts w:ascii="宋体" w:hAnsi="宋体"/>
          <w:sz w:val="24"/>
          <w:szCs w:val="24"/>
        </w:rPr>
        <w:t>任何纠纷</w:t>
      </w:r>
      <w:r>
        <w:rPr>
          <w:rFonts w:hint="eastAsia" w:ascii="宋体" w:hAnsi="宋体"/>
          <w:sz w:val="24"/>
          <w:szCs w:val="24"/>
        </w:rPr>
        <w:t>。</w:t>
      </w:r>
      <w:r>
        <w:rPr>
          <w:rFonts w:ascii="宋体" w:hAnsi="宋体"/>
          <w:sz w:val="24"/>
          <w:szCs w:val="24"/>
        </w:rPr>
        <w:t>若</w:t>
      </w:r>
      <w:r>
        <w:rPr>
          <w:rFonts w:hint="eastAsia" w:ascii="宋体" w:hAnsi="宋体"/>
          <w:sz w:val="24"/>
          <w:szCs w:val="24"/>
        </w:rPr>
        <w:t>乙方因履行本合同而与第三方</w:t>
      </w:r>
      <w:r>
        <w:rPr>
          <w:rFonts w:ascii="宋体" w:hAnsi="宋体"/>
          <w:sz w:val="24"/>
          <w:szCs w:val="24"/>
        </w:rPr>
        <w:t>发生</w:t>
      </w:r>
      <w:r>
        <w:rPr>
          <w:rFonts w:hint="eastAsia" w:ascii="宋体" w:hAnsi="宋体"/>
          <w:sz w:val="24"/>
          <w:szCs w:val="24"/>
        </w:rPr>
        <w:t>纠纷或</w:t>
      </w:r>
      <w:r>
        <w:rPr>
          <w:rFonts w:ascii="宋体" w:hAnsi="宋体"/>
          <w:sz w:val="24"/>
          <w:szCs w:val="24"/>
        </w:rPr>
        <w:t>争议，不</w:t>
      </w:r>
      <w:r>
        <w:rPr>
          <w:rFonts w:hint="eastAsia" w:ascii="宋体" w:hAnsi="宋体"/>
          <w:sz w:val="24"/>
          <w:szCs w:val="24"/>
        </w:rPr>
        <w:t>能</w:t>
      </w:r>
      <w:r>
        <w:rPr>
          <w:rFonts w:ascii="宋体" w:hAnsi="宋体"/>
          <w:sz w:val="24"/>
          <w:szCs w:val="24"/>
        </w:rPr>
        <w:t>作为</w:t>
      </w:r>
      <w:r>
        <w:rPr>
          <w:rFonts w:hint="eastAsia" w:ascii="宋体" w:hAnsi="宋体"/>
          <w:sz w:val="24"/>
          <w:szCs w:val="24"/>
        </w:rPr>
        <w:t>乙方</w:t>
      </w:r>
      <w:r>
        <w:rPr>
          <w:rFonts w:ascii="宋体" w:hAnsi="宋体"/>
          <w:sz w:val="24"/>
          <w:szCs w:val="24"/>
        </w:rPr>
        <w:t>不履行本合同的抗辩理由。</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乙方保证为签署</w:t>
      </w:r>
      <w:r>
        <w:rPr>
          <w:rFonts w:hint="eastAsia" w:ascii="宋体" w:hAnsi="宋体"/>
          <w:sz w:val="24"/>
          <w:szCs w:val="24"/>
        </w:rPr>
        <w:t>及履行</w:t>
      </w:r>
      <w:r>
        <w:rPr>
          <w:rFonts w:ascii="宋体" w:hAnsi="宋体"/>
          <w:sz w:val="24"/>
          <w:szCs w:val="24"/>
        </w:rPr>
        <w:t>本合同已获得</w:t>
      </w:r>
      <w:r>
        <w:rPr>
          <w:rFonts w:hint="eastAsia" w:ascii="宋体" w:hAnsi="宋体"/>
          <w:sz w:val="24"/>
          <w:szCs w:val="24"/>
        </w:rPr>
        <w:t>一切必要的</w:t>
      </w:r>
      <w:r>
        <w:rPr>
          <w:rFonts w:ascii="宋体" w:hAnsi="宋体"/>
          <w:sz w:val="24"/>
          <w:szCs w:val="24"/>
        </w:rPr>
        <w:t>许可和授权，并具备</w:t>
      </w:r>
      <w:r>
        <w:rPr>
          <w:rFonts w:hint="eastAsia" w:ascii="宋体" w:hAnsi="宋体"/>
          <w:sz w:val="24"/>
          <w:szCs w:val="24"/>
        </w:rPr>
        <w:t>所有必要的履约</w:t>
      </w:r>
      <w:r>
        <w:rPr>
          <w:rFonts w:ascii="宋体" w:hAnsi="宋体"/>
          <w:sz w:val="24"/>
          <w:szCs w:val="24"/>
        </w:rPr>
        <w:t>能力</w:t>
      </w:r>
      <w:r>
        <w:rPr>
          <w:rFonts w:hint="eastAsia" w:ascii="宋体" w:hAnsi="宋体"/>
          <w:sz w:val="24"/>
          <w:szCs w:val="24"/>
        </w:rPr>
        <w:t>和法定资质</w:t>
      </w:r>
      <w:r>
        <w:rPr>
          <w:rFonts w:ascii="宋体" w:hAnsi="宋体"/>
          <w:sz w:val="24"/>
          <w:szCs w:val="24"/>
        </w:rPr>
        <w:t>。</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乙方负责办理船舶靠岸的报关、报检手续，甲方提供必要协助。</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结算及付款期限</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本合同以单船为批次进行结算，</w:t>
      </w:r>
      <w:r>
        <w:rPr>
          <w:rFonts w:ascii="宋体" w:hAnsi="宋体"/>
          <w:sz w:val="24"/>
          <w:szCs w:val="24"/>
        </w:rPr>
        <w:t>结算</w:t>
      </w:r>
      <w:r>
        <w:rPr>
          <w:rFonts w:hint="eastAsia" w:ascii="宋体" w:hAnsi="宋体"/>
          <w:sz w:val="24"/>
          <w:szCs w:val="24"/>
        </w:rPr>
        <w:t>价格</w:t>
      </w:r>
      <w:r>
        <w:rPr>
          <w:rFonts w:ascii="宋体" w:hAnsi="宋体"/>
          <w:sz w:val="24"/>
          <w:szCs w:val="24"/>
        </w:rPr>
        <w:t>以</w:t>
      </w:r>
      <w:r>
        <w:rPr>
          <w:rFonts w:hint="eastAsia" w:ascii="宋体" w:hAnsi="宋体"/>
          <w:sz w:val="24"/>
          <w:szCs w:val="24"/>
        </w:rPr>
        <w:t>合同</w:t>
      </w:r>
      <w:r>
        <w:fldChar w:fldCharType="begin"/>
      </w:r>
      <w:r>
        <w:instrText xml:space="preserve"> HYPERLINK \l "检验机构" </w:instrText>
      </w:r>
      <w:r>
        <w:fldChar w:fldCharType="separate"/>
      </w:r>
      <w:r>
        <w:rPr>
          <w:rStyle w:val="13"/>
          <w:rFonts w:hint="eastAsia" w:ascii="宋体" w:hAnsi="宋体"/>
          <w:color w:val="auto"/>
          <w:sz w:val="24"/>
          <w:szCs w:val="24"/>
        </w:rPr>
        <w:t>6.1</w:t>
      </w:r>
      <w:r>
        <w:rPr>
          <w:rStyle w:val="13"/>
          <w:rFonts w:hint="eastAsia" w:ascii="宋体" w:hAnsi="宋体"/>
          <w:color w:val="auto"/>
          <w:sz w:val="24"/>
          <w:szCs w:val="24"/>
        </w:rPr>
        <w:fldChar w:fldCharType="end"/>
      </w:r>
      <w:r>
        <w:rPr>
          <w:rFonts w:ascii="宋体" w:hAnsi="宋体"/>
          <w:sz w:val="24"/>
          <w:szCs w:val="24"/>
        </w:rPr>
        <w:t>条</w:t>
      </w:r>
      <w:r>
        <w:rPr>
          <w:rFonts w:hint="eastAsia" w:ascii="宋体" w:hAnsi="宋体"/>
          <w:sz w:val="24"/>
          <w:szCs w:val="24"/>
        </w:rPr>
        <w:t>约定的卸货港</w:t>
      </w:r>
      <w:r>
        <w:rPr>
          <w:rFonts w:ascii="宋体" w:hAnsi="宋体"/>
          <w:sz w:val="24"/>
          <w:szCs w:val="24"/>
        </w:rPr>
        <w:t>检验证书为</w:t>
      </w:r>
      <w:r>
        <w:rPr>
          <w:rFonts w:hint="eastAsia" w:ascii="宋体" w:hAnsi="宋体"/>
          <w:sz w:val="24"/>
          <w:szCs w:val="24"/>
        </w:rPr>
        <w:t>依据，</w:t>
      </w:r>
      <w:r>
        <w:rPr>
          <w:rFonts w:ascii="宋体" w:hAnsi="宋体"/>
          <w:sz w:val="24"/>
          <w:szCs w:val="24"/>
        </w:rPr>
        <w:t>按本合同</w:t>
      </w:r>
      <w:r>
        <w:fldChar w:fldCharType="begin"/>
      </w:r>
      <w:r>
        <w:instrText xml:space="preserve"> HYPERLINK \l "合同价格" </w:instrText>
      </w:r>
      <w:r>
        <w:fldChar w:fldCharType="separate"/>
      </w:r>
      <w:r>
        <w:rPr>
          <w:rStyle w:val="13"/>
          <w:rFonts w:hint="eastAsia" w:ascii="宋体" w:hAnsi="宋体"/>
          <w:color w:val="auto"/>
          <w:sz w:val="24"/>
          <w:szCs w:val="24"/>
        </w:rPr>
        <w:t>7</w:t>
      </w:r>
      <w:r>
        <w:rPr>
          <w:rStyle w:val="13"/>
          <w:rFonts w:ascii="宋体" w:hAnsi="宋体"/>
          <w:color w:val="auto"/>
          <w:sz w:val="24"/>
          <w:szCs w:val="24"/>
        </w:rPr>
        <w:t>.1</w:t>
      </w:r>
      <w:r>
        <w:rPr>
          <w:rStyle w:val="13"/>
          <w:rFonts w:ascii="宋体" w:hAnsi="宋体"/>
          <w:color w:val="auto"/>
          <w:sz w:val="24"/>
          <w:szCs w:val="24"/>
        </w:rPr>
        <w:fldChar w:fldCharType="end"/>
      </w:r>
      <w:r>
        <w:rPr>
          <w:rFonts w:hint="eastAsia" w:ascii="宋体" w:hAnsi="宋体"/>
          <w:sz w:val="24"/>
          <w:szCs w:val="24"/>
        </w:rPr>
        <w:t>条约定的基准</w:t>
      </w:r>
      <w:r>
        <w:rPr>
          <w:rFonts w:ascii="宋体" w:hAnsi="宋体"/>
          <w:sz w:val="24"/>
          <w:szCs w:val="24"/>
        </w:rPr>
        <w:t>价格</w:t>
      </w:r>
      <w:r>
        <w:rPr>
          <w:rFonts w:hint="eastAsia" w:ascii="宋体" w:hAnsi="宋体"/>
          <w:sz w:val="24"/>
          <w:szCs w:val="24"/>
        </w:rPr>
        <w:t>进行</w:t>
      </w:r>
      <w:r>
        <w:rPr>
          <w:rFonts w:ascii="宋体" w:hAnsi="宋体"/>
          <w:sz w:val="24"/>
          <w:szCs w:val="24"/>
        </w:rPr>
        <w:t>调整。</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结算流程</w:t>
      </w:r>
    </w:p>
    <w:p>
      <w:pPr>
        <w:pStyle w:val="20"/>
        <w:tabs>
          <w:tab w:val="left" w:pos="993"/>
        </w:tabs>
        <w:spacing w:line="300" w:lineRule="exact"/>
        <w:ind w:firstLine="720" w:firstLineChars="300"/>
        <w:outlineLvl w:val="0"/>
        <w:rPr>
          <w:rFonts w:ascii="宋体" w:hAnsi="宋体"/>
          <w:sz w:val="24"/>
          <w:szCs w:val="24"/>
          <w:highlight w:val="none"/>
        </w:rPr>
      </w:pPr>
      <w:r>
        <w:rPr>
          <w:rFonts w:hint="eastAsia" w:ascii="宋体" w:hAnsi="宋体"/>
          <w:sz w:val="24"/>
          <w:szCs w:val="24"/>
          <w:highlight w:val="none"/>
        </w:rPr>
        <w:t>12.2.1货物通关放行货权转移给甲方后，甲方在15个工作日内向乙方支付合同金额的60%预结算款，货物全部拉运入厂验收合格后，再进行40%的尾款结算。</w:t>
      </w:r>
    </w:p>
    <w:p>
      <w:pPr>
        <w:pStyle w:val="20"/>
        <w:tabs>
          <w:tab w:val="left" w:pos="1560"/>
        </w:tabs>
        <w:spacing w:line="300" w:lineRule="exact"/>
        <w:ind w:firstLine="240" w:firstLineChars="100"/>
        <w:outlineLvl w:val="0"/>
        <w:rPr>
          <w:rFonts w:ascii="宋体" w:hAnsi="宋体"/>
          <w:sz w:val="24"/>
          <w:szCs w:val="24"/>
        </w:rPr>
      </w:pPr>
      <w:r>
        <w:rPr>
          <w:rFonts w:hint="eastAsia" w:ascii="宋体" w:hAnsi="宋体"/>
          <w:sz w:val="24"/>
          <w:szCs w:val="24"/>
        </w:rPr>
        <w:t>12.2.2在结算时</w:t>
      </w:r>
      <w:r>
        <w:rPr>
          <w:rFonts w:ascii="宋体" w:hAnsi="宋体"/>
          <w:sz w:val="24"/>
          <w:szCs w:val="24"/>
        </w:rPr>
        <w:t xml:space="preserve">乙方应向甲方提交以下结算单据： </w:t>
      </w:r>
    </w:p>
    <w:p>
      <w:pPr>
        <w:pStyle w:val="20"/>
        <w:tabs>
          <w:tab w:val="left" w:pos="2410"/>
        </w:tabs>
        <w:spacing w:line="300" w:lineRule="exact"/>
        <w:ind w:left="1276" w:firstLine="0" w:firstLineChars="0"/>
        <w:outlineLvl w:val="0"/>
        <w:rPr>
          <w:rFonts w:ascii="宋体" w:hAnsi="宋体"/>
          <w:sz w:val="24"/>
          <w:szCs w:val="24"/>
        </w:rPr>
      </w:pPr>
      <w:bookmarkStart w:id="21" w:name="_Hlk80879910"/>
      <w:r>
        <w:rPr>
          <w:rFonts w:hint="eastAsia" w:ascii="宋体" w:hAnsi="宋体"/>
          <w:sz w:val="24"/>
          <w:szCs w:val="24"/>
        </w:rPr>
        <w:t>12.2.2.1提货单据：</w:t>
      </w:r>
      <w:bookmarkStart w:id="22" w:name="_Hlk80896327"/>
      <w:r>
        <w:rPr>
          <w:rFonts w:ascii="宋体" w:hAnsi="宋体"/>
          <w:sz w:val="24"/>
          <w:szCs w:val="24"/>
        </w:rPr>
        <w:t>货物代理提交的</w:t>
      </w:r>
      <w:r>
        <w:rPr>
          <w:rFonts w:hint="eastAsia" w:ascii="宋体" w:hAnsi="宋体"/>
          <w:sz w:val="24"/>
          <w:szCs w:val="24"/>
        </w:rPr>
        <w:t>海关出具的进口放行通知书</w:t>
      </w:r>
      <w:r>
        <w:rPr>
          <w:rFonts w:ascii="宋体" w:hAnsi="宋体"/>
          <w:sz w:val="24"/>
          <w:szCs w:val="24"/>
        </w:rPr>
        <w:t>（小提单）原件、</w:t>
      </w:r>
      <w:r>
        <w:rPr>
          <w:rFonts w:hint="eastAsia" w:ascii="宋体" w:hAnsi="宋体"/>
          <w:sz w:val="24"/>
          <w:szCs w:val="24"/>
        </w:rPr>
        <w:t>海运</w:t>
      </w:r>
      <w:r>
        <w:rPr>
          <w:rFonts w:ascii="宋体" w:hAnsi="宋体"/>
          <w:sz w:val="24"/>
          <w:szCs w:val="24"/>
        </w:rPr>
        <w:t>提单原件</w:t>
      </w:r>
      <w:r>
        <w:rPr>
          <w:rFonts w:hint="eastAsia" w:ascii="宋体" w:hAnsi="宋体"/>
          <w:sz w:val="24"/>
          <w:szCs w:val="24"/>
        </w:rPr>
        <w:t>（</w:t>
      </w:r>
      <w:r>
        <w:rPr>
          <w:rFonts w:ascii="宋体" w:hAnsi="宋体"/>
          <w:sz w:val="24"/>
          <w:szCs w:val="24"/>
        </w:rPr>
        <w:t>收货人或连续最后背书人与小提单提货人应一致</w:t>
      </w:r>
      <w:r>
        <w:rPr>
          <w:rFonts w:hint="eastAsia" w:ascii="宋体" w:hAnsi="宋体"/>
          <w:sz w:val="24"/>
          <w:szCs w:val="24"/>
        </w:rPr>
        <w:t>）</w:t>
      </w:r>
      <w:bookmarkEnd w:id="22"/>
      <w:r>
        <w:rPr>
          <w:rFonts w:ascii="宋体" w:hAnsi="宋体"/>
          <w:sz w:val="24"/>
          <w:szCs w:val="24"/>
        </w:rPr>
        <w:t>。</w:t>
      </w:r>
      <w:bookmarkEnd w:id="21"/>
      <w:r>
        <w:rPr>
          <w:rFonts w:ascii="宋体" w:hAnsi="宋体"/>
          <w:sz w:val="24"/>
          <w:szCs w:val="24"/>
        </w:rPr>
        <w:t>提货单（小提单）背面须记载以下内容：</w:t>
      </w:r>
    </w:p>
    <w:p>
      <w:pPr>
        <w:pStyle w:val="20"/>
        <w:numPr>
          <w:ilvl w:val="0"/>
          <w:numId w:val="2"/>
        </w:numPr>
        <w:tabs>
          <w:tab w:val="left" w:pos="2410"/>
        </w:tabs>
        <w:spacing w:line="300" w:lineRule="exact"/>
        <w:ind w:firstLineChars="0"/>
        <w:outlineLvl w:val="0"/>
        <w:rPr>
          <w:rFonts w:ascii="宋体" w:hAnsi="宋体"/>
          <w:sz w:val="24"/>
          <w:szCs w:val="24"/>
        </w:rPr>
      </w:pPr>
      <w:r>
        <w:rPr>
          <w:rFonts w:ascii="宋体" w:hAnsi="宋体"/>
          <w:sz w:val="24"/>
          <w:szCs w:val="24"/>
        </w:rPr>
        <w:t>原收货人或最后背书人（背书需连续）于****年**月**日取得该批货物所有权（见提单复印件）；</w:t>
      </w:r>
    </w:p>
    <w:p>
      <w:pPr>
        <w:pStyle w:val="20"/>
        <w:numPr>
          <w:ilvl w:val="0"/>
          <w:numId w:val="2"/>
        </w:numPr>
        <w:tabs>
          <w:tab w:val="left" w:pos="2410"/>
        </w:tabs>
        <w:spacing w:line="300" w:lineRule="exact"/>
        <w:ind w:firstLineChars="0"/>
        <w:outlineLvl w:val="0"/>
        <w:rPr>
          <w:rFonts w:ascii="宋体" w:hAnsi="宋体"/>
          <w:sz w:val="24"/>
          <w:szCs w:val="24"/>
        </w:rPr>
      </w:pPr>
      <w:bookmarkStart w:id="23" w:name="_Hlk80896357"/>
      <w:r>
        <w:rPr>
          <w:rFonts w:ascii="宋体" w:hAnsi="宋体"/>
          <w:sz w:val="24"/>
          <w:szCs w:val="24"/>
        </w:rPr>
        <w:t>“由******凭此提货单提货”字样</w:t>
      </w:r>
      <w:bookmarkEnd w:id="23"/>
      <w:bookmarkStart w:id="24" w:name="_Hlk80896340"/>
      <w:r>
        <w:rPr>
          <w:rFonts w:hint="eastAsia" w:ascii="宋体" w:hAnsi="宋体"/>
          <w:sz w:val="24"/>
          <w:szCs w:val="24"/>
        </w:rPr>
        <w:t>（由甲方或甲方委托的货物代理）</w:t>
      </w:r>
      <w:bookmarkEnd w:id="24"/>
      <w:r>
        <w:rPr>
          <w:rFonts w:ascii="宋体" w:hAnsi="宋体"/>
          <w:sz w:val="24"/>
          <w:szCs w:val="24"/>
        </w:rPr>
        <w:t>，标明</w:t>
      </w:r>
      <w:r>
        <w:rPr>
          <w:rFonts w:hint="eastAsia" w:ascii="宋体" w:hAnsi="宋体"/>
          <w:sz w:val="24"/>
          <w:szCs w:val="24"/>
        </w:rPr>
        <w:t>日期</w:t>
      </w:r>
      <w:r>
        <w:rPr>
          <w:rFonts w:ascii="宋体" w:hAnsi="宋体"/>
          <w:sz w:val="24"/>
          <w:szCs w:val="24"/>
        </w:rPr>
        <w:t>；</w:t>
      </w:r>
    </w:p>
    <w:p>
      <w:pPr>
        <w:pStyle w:val="20"/>
        <w:numPr>
          <w:ilvl w:val="0"/>
          <w:numId w:val="2"/>
        </w:numPr>
        <w:tabs>
          <w:tab w:val="left" w:pos="2410"/>
        </w:tabs>
        <w:spacing w:line="300" w:lineRule="exact"/>
        <w:ind w:firstLineChars="0"/>
        <w:outlineLvl w:val="0"/>
        <w:rPr>
          <w:rFonts w:ascii="宋体" w:hAnsi="宋体"/>
          <w:sz w:val="24"/>
          <w:szCs w:val="24"/>
        </w:rPr>
      </w:pPr>
      <w:r>
        <w:rPr>
          <w:rFonts w:ascii="宋体" w:hAnsi="宋体"/>
          <w:sz w:val="24"/>
          <w:szCs w:val="24"/>
        </w:rPr>
        <w:t>原提货人</w:t>
      </w:r>
      <w:r>
        <w:rPr>
          <w:rFonts w:hint="eastAsia" w:ascii="宋体" w:hAnsi="宋体"/>
          <w:sz w:val="24"/>
          <w:szCs w:val="24"/>
        </w:rPr>
        <w:t>加盖</w:t>
      </w:r>
      <w:r>
        <w:rPr>
          <w:rFonts w:ascii="宋体" w:hAnsi="宋体"/>
          <w:sz w:val="24"/>
          <w:szCs w:val="24"/>
        </w:rPr>
        <w:t>公章。</w:t>
      </w:r>
    </w:p>
    <w:p>
      <w:pPr>
        <w:pStyle w:val="20"/>
        <w:tabs>
          <w:tab w:val="left" w:pos="2410"/>
        </w:tabs>
        <w:spacing w:line="300" w:lineRule="exact"/>
        <w:ind w:left="1276" w:firstLine="0" w:firstLineChars="0"/>
        <w:outlineLvl w:val="0"/>
        <w:rPr>
          <w:rFonts w:ascii="宋体" w:hAnsi="宋体"/>
          <w:sz w:val="24"/>
          <w:szCs w:val="24"/>
        </w:rPr>
      </w:pPr>
      <w:r>
        <w:rPr>
          <w:rFonts w:hint="eastAsia" w:ascii="宋体" w:hAnsi="宋体"/>
          <w:sz w:val="24"/>
          <w:szCs w:val="24"/>
        </w:rPr>
        <w:t>12.2.2.2货权转移证明：载明合同编号/船名/航次/载货吨数/海运提单号/到港日期/转让人（乙方）/收货人）</w:t>
      </w:r>
      <w:bookmarkStart w:id="25" w:name="_Hlk80896375"/>
      <w:r>
        <w:rPr>
          <w:rFonts w:hint="eastAsia" w:ascii="宋体" w:hAnsi="宋体"/>
          <w:sz w:val="24"/>
          <w:szCs w:val="24"/>
        </w:rPr>
        <w:t>的</w:t>
      </w:r>
      <w:bookmarkStart w:id="26" w:name="_Hlk80881146"/>
      <w:r>
        <w:rPr>
          <w:rFonts w:hint="eastAsia" w:ascii="宋体" w:hAnsi="宋体"/>
          <w:sz w:val="24"/>
          <w:szCs w:val="24"/>
        </w:rPr>
        <w:t>货权转移证明盖章原件</w:t>
      </w:r>
      <w:bookmarkEnd w:id="25"/>
      <w:bookmarkEnd w:id="26"/>
      <w:r>
        <w:rPr>
          <w:rFonts w:hint="eastAsia" w:ascii="宋体" w:hAnsi="宋体"/>
          <w:sz w:val="24"/>
          <w:szCs w:val="24"/>
        </w:rPr>
        <w:t>。</w:t>
      </w:r>
    </w:p>
    <w:p>
      <w:pPr>
        <w:pStyle w:val="20"/>
        <w:tabs>
          <w:tab w:val="left" w:pos="2410"/>
        </w:tabs>
        <w:spacing w:line="300" w:lineRule="exact"/>
        <w:ind w:left="1276" w:firstLine="0" w:firstLineChars="0"/>
        <w:outlineLvl w:val="0"/>
        <w:rPr>
          <w:rFonts w:ascii="宋体" w:hAnsi="宋体"/>
          <w:sz w:val="24"/>
          <w:szCs w:val="24"/>
        </w:rPr>
      </w:pPr>
      <w:r>
        <w:rPr>
          <w:rFonts w:hint="eastAsia" w:ascii="宋体" w:hAnsi="宋体"/>
          <w:sz w:val="24"/>
          <w:szCs w:val="24"/>
        </w:rPr>
        <w:t>12.2.2.3检验证书：</w:t>
      </w:r>
      <w:r>
        <w:rPr>
          <w:rFonts w:ascii="宋体" w:hAnsi="宋体"/>
          <w:sz w:val="24"/>
          <w:szCs w:val="24"/>
        </w:rPr>
        <w:t>合同</w:t>
      </w:r>
      <w:r>
        <w:fldChar w:fldCharType="begin"/>
      </w:r>
      <w:r>
        <w:instrText xml:space="preserve"> HYPERLINK \l "检验机构" </w:instrText>
      </w:r>
      <w:r>
        <w:fldChar w:fldCharType="separate"/>
      </w:r>
      <w:r>
        <w:rPr>
          <w:rStyle w:val="13"/>
          <w:rFonts w:hint="eastAsia" w:ascii="宋体" w:hAnsi="宋体"/>
          <w:color w:val="auto"/>
          <w:sz w:val="24"/>
          <w:szCs w:val="24"/>
        </w:rPr>
        <w:t>6.1</w:t>
      </w:r>
      <w:r>
        <w:rPr>
          <w:rStyle w:val="13"/>
          <w:rFonts w:hint="eastAsia" w:ascii="宋体" w:hAnsi="宋体"/>
          <w:color w:val="auto"/>
          <w:sz w:val="24"/>
          <w:szCs w:val="24"/>
        </w:rPr>
        <w:fldChar w:fldCharType="end"/>
      </w:r>
      <w:r>
        <w:rPr>
          <w:rFonts w:ascii="宋体" w:hAnsi="宋体"/>
          <w:sz w:val="24"/>
          <w:szCs w:val="24"/>
        </w:rPr>
        <w:t>条约定的质量、数量检验证书正本。</w:t>
      </w:r>
    </w:p>
    <w:p>
      <w:pPr>
        <w:pStyle w:val="20"/>
        <w:tabs>
          <w:tab w:val="left" w:pos="2410"/>
        </w:tabs>
        <w:spacing w:line="300" w:lineRule="exact"/>
        <w:ind w:left="1276" w:firstLine="0" w:firstLineChars="0"/>
        <w:outlineLvl w:val="0"/>
        <w:rPr>
          <w:rFonts w:ascii="宋体" w:hAnsi="宋体"/>
          <w:sz w:val="24"/>
          <w:szCs w:val="24"/>
        </w:rPr>
      </w:pPr>
      <w:bookmarkStart w:id="27" w:name="_Hlk80896437"/>
      <w:r>
        <w:rPr>
          <w:rFonts w:hint="eastAsia" w:ascii="宋体" w:hAnsi="宋体"/>
          <w:sz w:val="24"/>
          <w:szCs w:val="24"/>
        </w:rPr>
        <w:t>12.2.2.4</w:t>
      </w:r>
      <w:r>
        <w:rPr>
          <w:rFonts w:ascii="宋体" w:hAnsi="宋体"/>
          <w:sz w:val="24"/>
          <w:szCs w:val="24"/>
        </w:rPr>
        <w:t>船舶事实记录（SOF）</w:t>
      </w:r>
      <w:r>
        <w:rPr>
          <w:rFonts w:hint="eastAsia" w:ascii="宋体" w:hAnsi="宋体"/>
          <w:sz w:val="24"/>
          <w:szCs w:val="24"/>
        </w:rPr>
        <w:t>：双方书面确认的SOF及滞期/速遣费计算单（复印件、邮件扫描文档或传真均有效）</w:t>
      </w:r>
      <w:bookmarkEnd w:id="27"/>
      <w:r>
        <w:rPr>
          <w:rFonts w:hint="eastAsia" w:ascii="宋体" w:hAnsi="宋体"/>
          <w:sz w:val="24"/>
          <w:szCs w:val="24"/>
        </w:rPr>
        <w:t>。</w:t>
      </w:r>
    </w:p>
    <w:p>
      <w:pPr>
        <w:pStyle w:val="20"/>
        <w:tabs>
          <w:tab w:val="left" w:pos="2410"/>
        </w:tabs>
        <w:spacing w:line="300" w:lineRule="exact"/>
        <w:ind w:left="1276" w:firstLine="0" w:firstLineChars="0"/>
        <w:outlineLvl w:val="0"/>
        <w:rPr>
          <w:rFonts w:ascii="宋体" w:hAnsi="宋体"/>
          <w:sz w:val="24"/>
          <w:szCs w:val="24"/>
        </w:rPr>
      </w:pPr>
      <w:r>
        <w:rPr>
          <w:rFonts w:hint="eastAsia" w:ascii="宋体" w:hAnsi="宋体"/>
          <w:sz w:val="24"/>
          <w:szCs w:val="24"/>
        </w:rPr>
        <w:t>12.2.2.5银行信息：包括开户行、账户名、账号、大额支付行号的银行信息，并加盖财务章（见“附件二：银行信息”）。如乙方为首次签订合同的供应商，或乙方收款银行及账号发生变更时，须提供该附件，并将加盖财务章的原件邮寄给甲方。</w:t>
      </w:r>
    </w:p>
    <w:p>
      <w:pPr>
        <w:pStyle w:val="20"/>
        <w:tabs>
          <w:tab w:val="left" w:pos="1560"/>
        </w:tabs>
        <w:spacing w:line="300" w:lineRule="exact"/>
        <w:ind w:firstLine="240" w:firstLineChars="100"/>
        <w:outlineLvl w:val="0"/>
        <w:rPr>
          <w:rFonts w:ascii="宋体" w:hAnsi="宋体"/>
          <w:sz w:val="24"/>
          <w:szCs w:val="24"/>
        </w:rPr>
      </w:pPr>
      <w:r>
        <w:rPr>
          <w:rFonts w:hint="eastAsia" w:ascii="宋体" w:hAnsi="宋体"/>
          <w:sz w:val="24"/>
          <w:szCs w:val="24"/>
        </w:rPr>
        <w:t>12.2.3</w:t>
      </w:r>
      <w:r>
        <w:rPr>
          <w:rFonts w:ascii="宋体" w:hAnsi="宋体"/>
          <w:sz w:val="24"/>
          <w:szCs w:val="24"/>
        </w:rPr>
        <w:t>若检验证书未按国标（GB）出具，或</w:t>
      </w:r>
      <w:r>
        <w:rPr>
          <w:rFonts w:hint="eastAsia" w:ascii="宋体" w:hAnsi="宋体"/>
          <w:sz w:val="24"/>
          <w:szCs w:val="24"/>
        </w:rPr>
        <w:t>未按</w:t>
      </w:r>
      <w:r>
        <w:rPr>
          <w:rFonts w:ascii="宋体" w:hAnsi="宋体"/>
          <w:sz w:val="24"/>
          <w:szCs w:val="24"/>
        </w:rPr>
        <w:t>合同</w:t>
      </w:r>
      <w:r>
        <w:fldChar w:fldCharType="begin"/>
      </w:r>
      <w:r>
        <w:instrText xml:space="preserve"> HYPERLINK \l "检验机构" </w:instrText>
      </w:r>
      <w:r>
        <w:fldChar w:fldCharType="separate"/>
      </w:r>
      <w:r>
        <w:rPr>
          <w:rStyle w:val="13"/>
          <w:rFonts w:hint="eastAsia" w:ascii="宋体" w:hAnsi="宋体"/>
          <w:color w:val="auto"/>
          <w:sz w:val="24"/>
          <w:szCs w:val="24"/>
        </w:rPr>
        <w:t>6.1</w:t>
      </w:r>
      <w:r>
        <w:rPr>
          <w:rStyle w:val="13"/>
          <w:rFonts w:hint="eastAsia" w:ascii="宋体" w:hAnsi="宋体"/>
          <w:color w:val="auto"/>
          <w:sz w:val="24"/>
          <w:szCs w:val="24"/>
        </w:rPr>
        <w:fldChar w:fldCharType="end"/>
      </w:r>
      <w:r>
        <w:rPr>
          <w:rFonts w:ascii="宋体" w:hAnsi="宋体"/>
          <w:sz w:val="24"/>
          <w:szCs w:val="24"/>
        </w:rPr>
        <w:t>条约定出具，甲方不予结算。</w:t>
      </w:r>
    </w:p>
    <w:p>
      <w:pPr>
        <w:pStyle w:val="20"/>
        <w:tabs>
          <w:tab w:val="left" w:pos="1560"/>
        </w:tabs>
        <w:spacing w:line="300" w:lineRule="exact"/>
        <w:ind w:firstLine="240" w:firstLineChars="100"/>
        <w:outlineLvl w:val="0"/>
        <w:rPr>
          <w:rFonts w:ascii="宋体" w:hAnsi="宋体"/>
          <w:sz w:val="24"/>
          <w:szCs w:val="24"/>
        </w:rPr>
      </w:pPr>
      <w:r>
        <w:rPr>
          <w:rFonts w:hint="eastAsia" w:ascii="宋体" w:hAnsi="宋体"/>
          <w:sz w:val="24"/>
          <w:szCs w:val="24"/>
        </w:rPr>
        <w:t>12.2.4</w:t>
      </w:r>
      <w:r>
        <w:rPr>
          <w:rFonts w:hint="eastAsia" w:ascii="宋体" w:hAnsi="宋体"/>
          <w:sz w:val="24"/>
          <w:szCs w:val="24"/>
          <w:highlight w:val="none"/>
        </w:rPr>
        <w:t>货物全部入厂验收后</w:t>
      </w:r>
      <w:r>
        <w:rPr>
          <w:rFonts w:hint="eastAsia" w:ascii="宋体" w:hAnsi="宋体"/>
          <w:sz w:val="24"/>
          <w:szCs w:val="24"/>
        </w:rPr>
        <w:t>乙</w:t>
      </w:r>
      <w:r>
        <w:rPr>
          <w:rFonts w:ascii="宋体" w:hAnsi="宋体"/>
          <w:sz w:val="24"/>
          <w:szCs w:val="24"/>
        </w:rPr>
        <w:t>方结算</w:t>
      </w:r>
      <w:r>
        <w:rPr>
          <w:rFonts w:hint="eastAsia" w:ascii="宋体" w:hAnsi="宋体"/>
          <w:sz w:val="24"/>
          <w:szCs w:val="24"/>
        </w:rPr>
        <w:t>单据</w:t>
      </w:r>
      <w:r>
        <w:rPr>
          <w:rFonts w:ascii="宋体" w:hAnsi="宋体"/>
          <w:sz w:val="24"/>
          <w:szCs w:val="24"/>
        </w:rPr>
        <w:t>提交</w:t>
      </w:r>
      <w:r>
        <w:rPr>
          <w:rFonts w:hint="eastAsia" w:ascii="宋体" w:hAnsi="宋体"/>
          <w:sz w:val="24"/>
          <w:szCs w:val="24"/>
        </w:rPr>
        <w:t>甲</w:t>
      </w:r>
      <w:r>
        <w:rPr>
          <w:rFonts w:ascii="宋体" w:hAnsi="宋体"/>
          <w:sz w:val="24"/>
          <w:szCs w:val="24"/>
        </w:rPr>
        <w:t>方</w:t>
      </w:r>
      <w:r>
        <w:rPr>
          <w:rFonts w:hint="eastAsia" w:ascii="宋体" w:hAnsi="宋体"/>
          <w:sz w:val="24"/>
          <w:szCs w:val="24"/>
        </w:rPr>
        <w:t>，</w:t>
      </w:r>
      <w:r>
        <w:rPr>
          <w:rFonts w:ascii="宋体" w:hAnsi="宋体"/>
          <w:sz w:val="24"/>
          <w:szCs w:val="24"/>
        </w:rPr>
        <w:t>双方共同确认</w:t>
      </w:r>
      <w:r>
        <w:rPr>
          <w:rFonts w:hint="eastAsia" w:ascii="宋体" w:hAnsi="宋体"/>
          <w:sz w:val="24"/>
          <w:szCs w:val="24"/>
        </w:rPr>
        <w:t>结算单据</w:t>
      </w:r>
      <w:r>
        <w:rPr>
          <w:rFonts w:ascii="宋体" w:hAnsi="宋体"/>
          <w:sz w:val="24"/>
          <w:szCs w:val="24"/>
        </w:rPr>
        <w:t>，甲方向乙方发出“结算通知书”。若乙方对“结算单据”内容有异议，应在收到结算单据之日起</w:t>
      </w:r>
      <w:r>
        <w:rPr>
          <w:rFonts w:ascii="宋体" w:hAnsi="宋体"/>
          <w:sz w:val="24"/>
          <w:szCs w:val="24"/>
          <w:u w:val="single"/>
        </w:rPr>
        <w:t>3</w:t>
      </w:r>
      <w:r>
        <w:rPr>
          <w:rFonts w:ascii="宋体" w:hAnsi="宋体"/>
          <w:sz w:val="24"/>
          <w:szCs w:val="24"/>
        </w:rPr>
        <w:t>个工作日内，向甲方发出“结算异议通知”，双方应在</w:t>
      </w:r>
      <w:r>
        <w:rPr>
          <w:rFonts w:hint="eastAsia" w:ascii="宋体" w:hAnsi="宋体"/>
          <w:sz w:val="24"/>
          <w:szCs w:val="24"/>
        </w:rPr>
        <w:t>该</w:t>
      </w:r>
      <w:r>
        <w:rPr>
          <w:rFonts w:ascii="宋体" w:hAnsi="宋体"/>
          <w:sz w:val="24"/>
          <w:szCs w:val="24"/>
        </w:rPr>
        <w:t>通知出具后</w:t>
      </w:r>
      <w:r>
        <w:rPr>
          <w:rFonts w:ascii="宋体" w:hAnsi="宋体"/>
          <w:sz w:val="24"/>
          <w:szCs w:val="24"/>
          <w:u w:val="single"/>
        </w:rPr>
        <w:t>7</w:t>
      </w:r>
      <w:r>
        <w:rPr>
          <w:rFonts w:ascii="宋体" w:hAnsi="宋体"/>
          <w:sz w:val="24"/>
          <w:szCs w:val="24"/>
        </w:rPr>
        <w:t>个工作日内达成共识。若乙方对</w:t>
      </w:r>
      <w:r>
        <w:rPr>
          <w:rFonts w:hint="eastAsia" w:ascii="宋体" w:hAnsi="宋体"/>
          <w:sz w:val="24"/>
          <w:szCs w:val="24"/>
        </w:rPr>
        <w:t>该</w:t>
      </w:r>
      <w:r>
        <w:rPr>
          <w:rFonts w:ascii="宋体" w:hAnsi="宋体"/>
          <w:sz w:val="24"/>
          <w:szCs w:val="24"/>
        </w:rPr>
        <w:t>通知书所载内容无异议，</w:t>
      </w:r>
      <w:r>
        <w:rPr>
          <w:rFonts w:hint="eastAsia" w:ascii="宋体" w:hAnsi="宋体"/>
          <w:sz w:val="24"/>
          <w:szCs w:val="24"/>
        </w:rPr>
        <w:t>应</w:t>
      </w:r>
      <w:r>
        <w:rPr>
          <w:rFonts w:ascii="宋体" w:hAnsi="宋体"/>
          <w:sz w:val="24"/>
          <w:szCs w:val="24"/>
        </w:rPr>
        <w:t>向甲方开出符合甲方所在地税务部门要求的全额增值税</w:t>
      </w:r>
      <w:r>
        <w:rPr>
          <w:rFonts w:hint="eastAsia" w:ascii="宋体" w:hAnsi="宋体"/>
          <w:sz w:val="24"/>
          <w:szCs w:val="24"/>
        </w:rPr>
        <w:t>专用</w:t>
      </w:r>
      <w:r>
        <w:rPr>
          <w:rFonts w:ascii="宋体" w:hAnsi="宋体"/>
          <w:sz w:val="24"/>
          <w:szCs w:val="24"/>
        </w:rPr>
        <w:t>发票，甲方在收到发票后</w:t>
      </w:r>
      <w:r>
        <w:rPr>
          <w:rFonts w:hint="eastAsia" w:ascii="宋体" w:hAnsi="宋体"/>
          <w:sz w:val="24"/>
          <w:szCs w:val="24"/>
        </w:rPr>
        <w:t>15个工作日内</w:t>
      </w:r>
      <w:r>
        <w:rPr>
          <w:rFonts w:ascii="宋体" w:hAnsi="宋体"/>
          <w:sz w:val="24"/>
          <w:szCs w:val="24"/>
        </w:rPr>
        <w:t>向乙方</w:t>
      </w:r>
      <w:r>
        <w:rPr>
          <w:rFonts w:hint="eastAsia" w:ascii="宋体" w:hAnsi="宋体"/>
          <w:sz w:val="24"/>
          <w:szCs w:val="24"/>
        </w:rPr>
        <w:t>付清全部</w:t>
      </w:r>
      <w:r>
        <w:rPr>
          <w:rFonts w:hint="eastAsia" w:ascii="宋体" w:hAnsi="宋体"/>
          <w:sz w:val="24"/>
          <w:szCs w:val="24"/>
          <w:highlight w:val="none"/>
        </w:rPr>
        <w:t>尾款</w:t>
      </w:r>
      <w:r>
        <w:rPr>
          <w:rFonts w:hint="eastAsia" w:ascii="宋体" w:hAnsi="宋体"/>
          <w:sz w:val="24"/>
          <w:szCs w:val="24"/>
        </w:rPr>
        <w:t>。</w:t>
      </w:r>
    </w:p>
    <w:p>
      <w:pPr>
        <w:pStyle w:val="20"/>
        <w:tabs>
          <w:tab w:val="left" w:pos="1560"/>
        </w:tabs>
        <w:spacing w:line="300" w:lineRule="exact"/>
        <w:ind w:firstLine="240" w:firstLineChars="100"/>
        <w:outlineLvl w:val="0"/>
        <w:rPr>
          <w:rFonts w:ascii="宋体" w:hAnsi="宋体"/>
          <w:sz w:val="24"/>
          <w:szCs w:val="24"/>
        </w:rPr>
      </w:pPr>
      <w:r>
        <w:rPr>
          <w:rFonts w:hint="eastAsia" w:ascii="宋体" w:hAnsi="宋体"/>
          <w:sz w:val="24"/>
          <w:szCs w:val="24"/>
        </w:rPr>
        <w:t>12.2.5甲方支付方式为现汇或承兑汇票（甲方承担贴息）。</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不可抗力</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若在合同履行期限及区域内发生战争、封锁、骚乱、暴动、自然灾害</w:t>
      </w:r>
      <w:r>
        <w:rPr>
          <w:rFonts w:hint="eastAsia" w:ascii="宋体" w:hAnsi="宋体"/>
          <w:sz w:val="24"/>
          <w:szCs w:val="24"/>
        </w:rPr>
        <w:t>、突发公共卫生事件</w:t>
      </w:r>
      <w:r>
        <w:rPr>
          <w:rFonts w:ascii="宋体" w:hAnsi="宋体"/>
          <w:sz w:val="24"/>
          <w:szCs w:val="24"/>
        </w:rPr>
        <w:t>等不可抗力，影响合同的履行，受不可抗力影响的一方仅在不可抗力影响范围内可以免除其不能履行合同义务的责任，该方对任何扩大的损失均不得免责</w:t>
      </w:r>
      <w:r>
        <w:rPr>
          <w:rFonts w:hint="eastAsia" w:ascii="宋体" w:hAnsi="宋体"/>
          <w:sz w:val="24"/>
          <w:szCs w:val="24"/>
        </w:rPr>
        <w:t>。</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不可抗力发生后，受影响一方应第一时间</w:t>
      </w:r>
      <w:r>
        <w:rPr>
          <w:rFonts w:hint="eastAsia" w:ascii="宋体" w:hAnsi="宋体"/>
          <w:sz w:val="24"/>
          <w:szCs w:val="24"/>
        </w:rPr>
        <w:t>书面</w:t>
      </w:r>
      <w:r>
        <w:rPr>
          <w:rFonts w:ascii="宋体" w:hAnsi="宋体"/>
          <w:sz w:val="24"/>
          <w:szCs w:val="24"/>
        </w:rPr>
        <w:t>通知对方不可抗力的详情，尽力减少影响，并在</w:t>
      </w:r>
      <w:r>
        <w:rPr>
          <w:rFonts w:hint="eastAsia" w:ascii="宋体" w:hAnsi="宋体"/>
          <w:sz w:val="24"/>
          <w:szCs w:val="24"/>
        </w:rPr>
        <w:t>该</w:t>
      </w:r>
      <w:r>
        <w:rPr>
          <w:rFonts w:ascii="宋体" w:hAnsi="宋体"/>
          <w:sz w:val="24"/>
          <w:szCs w:val="24"/>
        </w:rPr>
        <w:t>情形消除之日起</w:t>
      </w:r>
      <w:r>
        <w:rPr>
          <w:rFonts w:ascii="宋体" w:hAnsi="宋体"/>
          <w:sz w:val="24"/>
          <w:szCs w:val="24"/>
          <w:u w:val="single"/>
        </w:rPr>
        <w:t>10</w:t>
      </w:r>
      <w:r>
        <w:rPr>
          <w:rFonts w:ascii="宋体" w:hAnsi="宋体"/>
          <w:sz w:val="24"/>
          <w:szCs w:val="24"/>
        </w:rPr>
        <w:t>日内提供政府机关就该不可抗力的发生出具的证明文件。</w:t>
      </w:r>
    </w:p>
    <w:p>
      <w:pPr>
        <w:pStyle w:val="20"/>
        <w:numPr>
          <w:ilvl w:val="1"/>
          <w:numId w:val="1"/>
        </w:numPr>
        <w:tabs>
          <w:tab w:val="left" w:pos="993"/>
        </w:tabs>
        <w:spacing w:line="300" w:lineRule="exact"/>
        <w:ind w:left="0" w:firstLine="425" w:firstLineChars="0"/>
        <w:outlineLvl w:val="0"/>
        <w:rPr>
          <w:rFonts w:ascii="宋体" w:hAnsi="宋体"/>
          <w:sz w:val="24"/>
          <w:szCs w:val="24"/>
        </w:rPr>
      </w:pPr>
      <w:bookmarkStart w:id="28" w:name="OLE_LINK1"/>
      <w:r>
        <w:rPr>
          <w:rFonts w:ascii="宋体" w:hAnsi="宋体"/>
          <w:sz w:val="24"/>
          <w:szCs w:val="24"/>
        </w:rPr>
        <w:t>若</w:t>
      </w:r>
      <w:r>
        <w:rPr>
          <w:rFonts w:hint="eastAsia" w:ascii="宋体" w:hAnsi="宋体"/>
          <w:sz w:val="24"/>
          <w:szCs w:val="24"/>
        </w:rPr>
        <w:t>双方同意</w:t>
      </w:r>
      <w:r>
        <w:rPr>
          <w:rFonts w:ascii="宋体" w:hAnsi="宋体"/>
          <w:sz w:val="24"/>
          <w:szCs w:val="24"/>
        </w:rPr>
        <w:t>因不可抗力导致</w:t>
      </w:r>
      <w:r>
        <w:rPr>
          <w:rFonts w:hint="eastAsia" w:ascii="宋体" w:hAnsi="宋体"/>
          <w:sz w:val="24"/>
          <w:szCs w:val="24"/>
        </w:rPr>
        <w:t>合同目的不能实现</w:t>
      </w:r>
      <w:r>
        <w:rPr>
          <w:rFonts w:ascii="宋体" w:hAnsi="宋体"/>
          <w:sz w:val="24"/>
          <w:szCs w:val="24"/>
        </w:rPr>
        <w:t>，</w:t>
      </w:r>
      <w:bookmarkEnd w:id="28"/>
      <w:r>
        <w:rPr>
          <w:rFonts w:ascii="宋体" w:hAnsi="宋体"/>
          <w:sz w:val="24"/>
          <w:szCs w:val="24"/>
        </w:rPr>
        <w:t>合同将终止，双方应签署终止协议；若导致本合同部分无法履行或迟延履行，双方应就合同的履行方式进行协商，并签署补充协议。</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违约责任及索赔</w:t>
      </w:r>
    </w:p>
    <w:p>
      <w:pPr>
        <w:pStyle w:val="20"/>
        <w:tabs>
          <w:tab w:val="left" w:pos="993"/>
        </w:tabs>
        <w:spacing w:line="300" w:lineRule="exact"/>
        <w:ind w:left="425" w:firstLine="0" w:firstLineChars="0"/>
        <w:outlineLvl w:val="0"/>
        <w:rPr>
          <w:rFonts w:ascii="宋体" w:hAnsi="宋体"/>
          <w:sz w:val="24"/>
          <w:szCs w:val="24"/>
        </w:rPr>
      </w:pPr>
      <w:r>
        <w:rPr>
          <w:rFonts w:ascii="宋体" w:hAnsi="宋体"/>
          <w:sz w:val="24"/>
          <w:szCs w:val="24"/>
        </w:rPr>
        <w:t>除不可抗力</w:t>
      </w:r>
      <w:r>
        <w:rPr>
          <w:rFonts w:hint="eastAsia" w:ascii="宋体" w:hAnsi="宋体"/>
          <w:sz w:val="24"/>
          <w:szCs w:val="24"/>
        </w:rPr>
        <w:t>或甲方自身</w:t>
      </w:r>
      <w:r>
        <w:rPr>
          <w:rFonts w:ascii="宋体" w:hAnsi="宋体"/>
          <w:sz w:val="24"/>
          <w:szCs w:val="24"/>
        </w:rPr>
        <w:t>原因</w:t>
      </w:r>
      <w:r>
        <w:rPr>
          <w:rFonts w:hint="eastAsia" w:ascii="宋体" w:hAnsi="宋体"/>
          <w:sz w:val="24"/>
          <w:szCs w:val="24"/>
        </w:rPr>
        <w:t>或事先书面协商一致以外</w:t>
      </w:r>
      <w:r>
        <w:rPr>
          <w:rFonts w:ascii="宋体" w:hAnsi="宋体"/>
          <w:sz w:val="24"/>
          <w:szCs w:val="24"/>
        </w:rPr>
        <w:t>，</w:t>
      </w:r>
      <w:r>
        <w:rPr>
          <w:rFonts w:hint="eastAsia" w:ascii="宋体" w:hAnsi="宋体"/>
          <w:sz w:val="24"/>
          <w:szCs w:val="24"/>
        </w:rPr>
        <w:t>发生以下情况，甲方有权向乙方提出索赔：</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除不可抗力原因外，若</w:t>
      </w:r>
      <w:r>
        <w:rPr>
          <w:rFonts w:hint="eastAsia" w:ascii="宋体" w:hAnsi="宋体"/>
          <w:sz w:val="24"/>
          <w:szCs w:val="24"/>
        </w:rPr>
        <w:t>乙</w:t>
      </w:r>
      <w:r>
        <w:rPr>
          <w:rFonts w:ascii="宋体" w:hAnsi="宋体"/>
          <w:sz w:val="24"/>
          <w:szCs w:val="24"/>
        </w:rPr>
        <w:t>方</w:t>
      </w:r>
      <w:r>
        <w:rPr>
          <w:rFonts w:hint="eastAsia" w:ascii="宋体" w:hAnsi="宋体"/>
          <w:sz w:val="24"/>
          <w:szCs w:val="24"/>
        </w:rPr>
        <w:t>供货数量低于</w:t>
      </w:r>
      <w:r>
        <w:rPr>
          <w:rFonts w:ascii="宋体" w:hAnsi="宋体"/>
          <w:sz w:val="24"/>
          <w:szCs w:val="24"/>
        </w:rPr>
        <w:t>本合同</w:t>
      </w:r>
      <w:r>
        <w:fldChar w:fldCharType="begin"/>
      </w:r>
      <w:r>
        <w:instrText xml:space="preserve"> HYPERLINK \l "合同数量" </w:instrText>
      </w:r>
      <w:r>
        <w:fldChar w:fldCharType="separate"/>
      </w:r>
      <w:r>
        <w:t>2.3</w:t>
      </w:r>
      <w:r>
        <w:fldChar w:fldCharType="end"/>
      </w:r>
      <w:r>
        <w:rPr>
          <w:rFonts w:ascii="宋体" w:hAnsi="宋体"/>
          <w:sz w:val="24"/>
          <w:szCs w:val="24"/>
        </w:rPr>
        <w:t>条</w:t>
      </w:r>
      <w:r>
        <w:rPr>
          <w:rFonts w:hint="eastAsia" w:ascii="宋体" w:hAnsi="宋体"/>
          <w:sz w:val="24"/>
          <w:szCs w:val="24"/>
        </w:rPr>
        <w:t>“合同数量”</w:t>
      </w:r>
      <w:r>
        <w:rPr>
          <w:rFonts w:ascii="宋体" w:hAnsi="宋体"/>
          <w:sz w:val="24"/>
          <w:szCs w:val="24"/>
        </w:rPr>
        <w:t>约定</w:t>
      </w:r>
      <w:r>
        <w:rPr>
          <w:rFonts w:hint="eastAsia" w:ascii="宋体" w:hAnsi="宋体"/>
          <w:sz w:val="24"/>
          <w:szCs w:val="24"/>
        </w:rPr>
        <w:t>的</w:t>
      </w:r>
      <w:r>
        <w:rPr>
          <w:rFonts w:ascii="宋体" w:hAnsi="宋体"/>
          <w:sz w:val="24"/>
          <w:szCs w:val="24"/>
        </w:rPr>
        <w:t>数量</w:t>
      </w:r>
      <w:r>
        <w:rPr>
          <w:rFonts w:hint="eastAsia" w:ascii="宋体" w:hAnsi="宋体"/>
          <w:sz w:val="24"/>
          <w:szCs w:val="24"/>
        </w:rPr>
        <w:t>下限</w:t>
      </w:r>
      <w:r>
        <w:rPr>
          <w:rFonts w:ascii="宋体" w:hAnsi="宋体"/>
          <w:sz w:val="24"/>
          <w:szCs w:val="24"/>
        </w:rPr>
        <w:t>，</w:t>
      </w:r>
      <w:r>
        <w:rPr>
          <w:rFonts w:hint="eastAsia" w:ascii="宋体" w:hAnsi="宋体"/>
          <w:sz w:val="24"/>
          <w:szCs w:val="24"/>
        </w:rPr>
        <w:t>甲方有权要求乙方支付</w:t>
      </w:r>
      <w:r>
        <w:rPr>
          <w:rFonts w:ascii="宋体" w:hAnsi="宋体"/>
          <w:sz w:val="24"/>
          <w:szCs w:val="24"/>
        </w:rPr>
        <w:t>违约金，违约金按少</w:t>
      </w:r>
      <w:r>
        <w:rPr>
          <w:rFonts w:hint="eastAsia" w:ascii="宋体" w:hAnsi="宋体"/>
          <w:sz w:val="24"/>
          <w:szCs w:val="24"/>
        </w:rPr>
        <w:t>供</w:t>
      </w:r>
      <w:r>
        <w:rPr>
          <w:rFonts w:ascii="宋体" w:hAnsi="宋体"/>
          <w:sz w:val="24"/>
          <w:szCs w:val="24"/>
        </w:rPr>
        <w:t>货部分</w:t>
      </w:r>
      <w:r>
        <w:rPr>
          <w:rFonts w:hint="eastAsia" w:ascii="宋体" w:hAnsi="宋体"/>
          <w:sz w:val="24"/>
          <w:szCs w:val="24"/>
        </w:rPr>
        <w:t>合同</w:t>
      </w:r>
      <w:r>
        <w:rPr>
          <w:rFonts w:ascii="宋体" w:hAnsi="宋体"/>
          <w:sz w:val="24"/>
          <w:szCs w:val="24"/>
        </w:rPr>
        <w:t>金额的1%计算。</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若船舶抵达卸货港时间晚于合同2.1条约定或甲乙双方另行协商约定的交货期限最后一日24:00，甲方有权拒收，同时要求乙方赔偿违约金，具体如下：</w:t>
      </w:r>
      <w:bookmarkStart w:id="29" w:name="OLE_LINK2"/>
    </w:p>
    <w:p>
      <w:pPr>
        <w:pStyle w:val="20"/>
        <w:numPr>
          <w:ilvl w:val="2"/>
          <w:numId w:val="1"/>
        </w:numPr>
        <w:tabs>
          <w:tab w:val="left" w:pos="993"/>
        </w:tabs>
        <w:spacing w:line="300" w:lineRule="exact"/>
        <w:ind w:left="426" w:firstLine="425" w:firstLineChars="0"/>
        <w:outlineLvl w:val="0"/>
        <w:rPr>
          <w:rFonts w:ascii="宋体" w:hAnsi="宋体"/>
          <w:sz w:val="24"/>
          <w:szCs w:val="24"/>
        </w:rPr>
      </w:pPr>
      <w:r>
        <w:rPr>
          <w:rFonts w:hint="eastAsia" w:ascii="宋体" w:hAnsi="宋体"/>
          <w:sz w:val="24"/>
          <w:szCs w:val="24"/>
        </w:rPr>
        <w:t>若船舶抵达卸货港晚于合同2.1条约定的交货期限最后一日24:00，甲方有权拒收；</w:t>
      </w:r>
    </w:p>
    <w:p>
      <w:pPr>
        <w:pStyle w:val="20"/>
        <w:numPr>
          <w:ilvl w:val="2"/>
          <w:numId w:val="1"/>
        </w:numPr>
        <w:tabs>
          <w:tab w:val="left" w:pos="993"/>
        </w:tabs>
        <w:spacing w:line="300" w:lineRule="exact"/>
        <w:ind w:left="426" w:firstLine="425" w:firstLineChars="0"/>
        <w:outlineLvl w:val="0"/>
        <w:rPr>
          <w:rFonts w:ascii="宋体" w:hAnsi="宋体"/>
          <w:sz w:val="24"/>
          <w:szCs w:val="24"/>
        </w:rPr>
      </w:pPr>
      <w:r>
        <w:rPr>
          <w:rFonts w:hint="eastAsia" w:ascii="宋体" w:hAnsi="宋体"/>
          <w:sz w:val="24"/>
          <w:szCs w:val="24"/>
        </w:rPr>
        <w:t>迟交货超过7天，甲方有权拒收，违约金金额按合同金额的5%计算；</w:t>
      </w:r>
    </w:p>
    <w:p>
      <w:pPr>
        <w:pStyle w:val="20"/>
        <w:numPr>
          <w:ilvl w:val="2"/>
          <w:numId w:val="1"/>
        </w:numPr>
        <w:tabs>
          <w:tab w:val="left" w:pos="993"/>
        </w:tabs>
        <w:spacing w:line="300" w:lineRule="exact"/>
        <w:ind w:left="426" w:firstLine="425" w:firstLineChars="0"/>
        <w:outlineLvl w:val="0"/>
        <w:rPr>
          <w:rFonts w:ascii="宋体" w:hAnsi="宋体"/>
          <w:sz w:val="24"/>
          <w:szCs w:val="24"/>
        </w:rPr>
      </w:pPr>
      <w:r>
        <w:rPr>
          <w:rFonts w:hint="eastAsia" w:ascii="宋体" w:hAnsi="宋体"/>
          <w:sz w:val="24"/>
          <w:szCs w:val="24"/>
        </w:rPr>
        <w:t>如乙方恶意延误交货或拒绝交货，甲方有权要求乙方赔偿违约金，金额按合同金额的10%计算。</w:t>
      </w:r>
    </w:p>
    <w:p>
      <w:pPr>
        <w:pStyle w:val="10"/>
        <w:widowControl/>
        <w:ind w:firstLine="960" w:firstLineChars="400"/>
        <w:rPr>
          <w:highlight w:val="none"/>
        </w:rPr>
      </w:pPr>
      <w:r>
        <w:rPr>
          <w:rFonts w:hint="eastAsia"/>
          <w:highlight w:val="none"/>
          <w:lang w:val="en-US" w:eastAsia="zh-CN"/>
        </w:rPr>
        <w:t>14.2.4</w:t>
      </w:r>
      <w:r>
        <w:rPr>
          <w:highlight w:val="none"/>
        </w:rPr>
        <w:t>若因煤炭过粘、过硬、</w:t>
      </w:r>
      <w:r>
        <w:rPr>
          <w:rFonts w:hint="eastAsia"/>
          <w:highlight w:val="none"/>
        </w:rPr>
        <w:t>煤</w:t>
      </w:r>
      <w:r>
        <w:rPr>
          <w:highlight w:val="none"/>
        </w:rPr>
        <w:t>块</w:t>
      </w:r>
      <w:r>
        <w:rPr>
          <w:rFonts w:hint="eastAsia"/>
          <w:highlight w:val="none"/>
        </w:rPr>
        <w:t>及矸石过</w:t>
      </w:r>
      <w:r>
        <w:rPr>
          <w:highlight w:val="none"/>
        </w:rPr>
        <w:t>大</w:t>
      </w:r>
      <w:r>
        <w:rPr>
          <w:rFonts w:hint="eastAsia"/>
          <w:highlight w:val="none"/>
        </w:rPr>
        <w:t>（超过30厘米以上）、含有铁块</w:t>
      </w:r>
      <w:r>
        <w:rPr>
          <w:highlight w:val="none"/>
        </w:rPr>
        <w:t>等</w:t>
      </w:r>
      <w:r>
        <w:rPr>
          <w:rFonts w:hint="eastAsia"/>
          <w:highlight w:val="none"/>
        </w:rPr>
        <w:t>杂质</w:t>
      </w:r>
      <w:r>
        <w:rPr>
          <w:highlight w:val="none"/>
        </w:rPr>
        <w:t>原因导致对电厂卸输煤设</w:t>
      </w:r>
      <w:r>
        <w:rPr>
          <w:rFonts w:hint="eastAsia"/>
          <w:highlight w:val="none"/>
        </w:rPr>
        <w:t>务</w:t>
      </w:r>
      <w:r>
        <w:rPr>
          <w:highlight w:val="none"/>
        </w:rPr>
        <w:t>、煤炭制粉系统及燃煤设备造成意外损坏的物质，</w:t>
      </w:r>
      <w:r>
        <w:rPr>
          <w:rFonts w:hint="eastAsia"/>
          <w:highlight w:val="none"/>
        </w:rPr>
        <w:t>由此</w:t>
      </w:r>
      <w:r>
        <w:rPr>
          <w:highlight w:val="none"/>
        </w:rPr>
        <w:t>造成的相应</w:t>
      </w:r>
      <w:r>
        <w:rPr>
          <w:rFonts w:hint="eastAsia"/>
          <w:highlight w:val="none"/>
        </w:rPr>
        <w:t>设备</w:t>
      </w:r>
      <w:r>
        <w:rPr>
          <w:highlight w:val="none"/>
        </w:rPr>
        <w:t>损失</w:t>
      </w:r>
      <w:r>
        <w:rPr>
          <w:rFonts w:hint="eastAsia"/>
          <w:highlight w:val="none"/>
        </w:rPr>
        <w:t>及人工成本由</w:t>
      </w:r>
      <w:r>
        <w:rPr>
          <w:highlight w:val="none"/>
        </w:rPr>
        <w:t>乙方</w:t>
      </w:r>
      <w:r>
        <w:rPr>
          <w:rFonts w:hint="eastAsia"/>
          <w:highlight w:val="none"/>
        </w:rPr>
        <w:t>全额</w:t>
      </w:r>
      <w:r>
        <w:rPr>
          <w:highlight w:val="none"/>
        </w:rPr>
        <w:t>承担。</w:t>
      </w:r>
    </w:p>
    <w:p>
      <w:pPr>
        <w:pStyle w:val="10"/>
        <w:widowControl/>
        <w:ind w:firstLine="960" w:firstLineChars="400"/>
        <w:rPr>
          <w:rFonts w:ascii="宋体" w:hAnsi="宋体"/>
          <w:sz w:val="24"/>
          <w:szCs w:val="24"/>
          <w:highlight w:val="none"/>
        </w:rPr>
      </w:pPr>
      <w:r>
        <w:rPr>
          <w:rFonts w:hint="eastAsia"/>
          <w:highlight w:val="none"/>
          <w:lang w:val="en-US" w:eastAsia="zh-CN"/>
        </w:rPr>
        <w:t>14.2.5</w:t>
      </w:r>
      <w:r>
        <w:rPr>
          <w:rFonts w:hint="eastAsia"/>
          <w:highlight w:val="none"/>
        </w:rPr>
        <w:t>请供应商从源头保证煤炭装船质量，装船前提前捡拾并清理矸石、铁块等杂物，避免带杂物装船。在拉运及入炉前</w:t>
      </w:r>
      <w:r>
        <w:rPr>
          <w:highlight w:val="none"/>
        </w:rPr>
        <w:t>若</w:t>
      </w:r>
      <w:r>
        <w:rPr>
          <w:rFonts w:hint="eastAsia"/>
          <w:highlight w:val="none"/>
        </w:rPr>
        <w:t>发电部发现</w:t>
      </w:r>
      <w:r>
        <w:rPr>
          <w:highlight w:val="none"/>
        </w:rPr>
        <w:t>因煤炭</w:t>
      </w:r>
      <w:r>
        <w:rPr>
          <w:rFonts w:hint="eastAsia"/>
          <w:highlight w:val="none"/>
        </w:rPr>
        <w:t>中含煤矸石过</w:t>
      </w:r>
      <w:r>
        <w:rPr>
          <w:highlight w:val="none"/>
        </w:rPr>
        <w:t>大</w:t>
      </w:r>
      <w:r>
        <w:rPr>
          <w:rFonts w:hint="eastAsia"/>
          <w:highlight w:val="none"/>
        </w:rPr>
        <w:t>（超过30厘米以上）、发现含有铁块</w:t>
      </w:r>
      <w:r>
        <w:rPr>
          <w:highlight w:val="none"/>
        </w:rPr>
        <w:t>等</w:t>
      </w:r>
      <w:r>
        <w:rPr>
          <w:rFonts w:hint="eastAsia"/>
          <w:highlight w:val="none"/>
        </w:rPr>
        <w:t>杂质，每发现任意一类杂物考核供应商1000元</w:t>
      </w:r>
      <w:r>
        <w:rPr>
          <w:highlight w:val="none"/>
        </w:rPr>
        <w:t>/</w:t>
      </w:r>
      <w:r>
        <w:rPr>
          <w:rFonts w:hint="eastAsia"/>
          <w:highlight w:val="none"/>
        </w:rPr>
        <w:t>次（发电部留存照片，以照片为证）；发现超过2次以上加倍考核；考核款项从履约保证金或煤款中一并扣除。</w:t>
      </w:r>
    </w:p>
    <w:bookmarkEnd w:id="29"/>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合同的变更或者解除不影响合同双方要求赔偿损失的权利。</w:t>
      </w:r>
    </w:p>
    <w:p>
      <w:pPr>
        <w:pStyle w:val="20"/>
        <w:numPr>
          <w:ilvl w:val="0"/>
          <w:numId w:val="1"/>
        </w:numPr>
        <w:spacing w:before="120" w:line="300" w:lineRule="exact"/>
        <w:ind w:firstLineChars="0"/>
        <w:outlineLvl w:val="0"/>
        <w:rPr>
          <w:rFonts w:ascii="宋体" w:hAnsi="宋体"/>
          <w:b/>
          <w:bCs/>
          <w:sz w:val="24"/>
          <w:szCs w:val="24"/>
        </w:rPr>
      </w:pPr>
      <w:r>
        <w:rPr>
          <w:rFonts w:hint="eastAsia" w:ascii="宋体" w:hAnsi="宋体"/>
          <w:b/>
          <w:bCs/>
          <w:sz w:val="24"/>
          <w:szCs w:val="24"/>
        </w:rPr>
        <w:t>履约保证金</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乙方应在本合</w:t>
      </w:r>
      <w:r>
        <w:rPr>
          <w:rFonts w:hint="eastAsia" w:ascii="宋体" w:hAnsi="宋体"/>
          <w:sz w:val="24"/>
          <w:szCs w:val="24"/>
          <w:highlight w:val="none"/>
        </w:rPr>
        <w:t>同签订前向甲方支付履约保证金、向竞价平台交付平台服务费，金额以竞</w:t>
      </w:r>
      <w:r>
        <w:rPr>
          <w:rFonts w:hint="eastAsia" w:ascii="宋体" w:hAnsi="宋体"/>
          <w:sz w:val="24"/>
          <w:szCs w:val="24"/>
        </w:rPr>
        <w:t>价公告为准（竞价公告不要求支付履约金的除外）。</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除不可抗力</w:t>
      </w:r>
      <w:r>
        <w:rPr>
          <w:rFonts w:hint="eastAsia" w:ascii="宋体" w:hAnsi="宋体"/>
          <w:sz w:val="24"/>
          <w:szCs w:val="24"/>
        </w:rPr>
        <w:t>或甲方自身</w:t>
      </w:r>
      <w:r>
        <w:rPr>
          <w:rFonts w:ascii="宋体" w:hAnsi="宋体"/>
          <w:sz w:val="24"/>
          <w:szCs w:val="24"/>
        </w:rPr>
        <w:t>原因</w:t>
      </w:r>
      <w:r>
        <w:rPr>
          <w:rFonts w:hint="eastAsia" w:ascii="宋体" w:hAnsi="宋体"/>
          <w:sz w:val="24"/>
          <w:szCs w:val="24"/>
        </w:rPr>
        <w:t>以</w:t>
      </w:r>
      <w:r>
        <w:rPr>
          <w:rFonts w:ascii="宋体" w:hAnsi="宋体"/>
          <w:sz w:val="24"/>
          <w:szCs w:val="24"/>
        </w:rPr>
        <w:t>外，</w:t>
      </w:r>
      <w:r>
        <w:rPr>
          <w:rFonts w:hint="eastAsia" w:ascii="宋体" w:hAnsi="宋体"/>
          <w:sz w:val="24"/>
          <w:szCs w:val="24"/>
        </w:rPr>
        <w:t>若乙方全部不履行合同，甲方不予退还乙方支付的履约保证金。</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乙方违反合同及附件约定的任何义务，包括但不限于根据合同第</w:t>
      </w:r>
      <w:r>
        <w:rPr>
          <w:rFonts w:hint="eastAsia" w:ascii="宋体" w:hAnsi="宋体"/>
          <w:sz w:val="24"/>
          <w:szCs w:val="24"/>
          <w:u w:val="single"/>
        </w:rPr>
        <w:t>14</w:t>
      </w:r>
      <w:r>
        <w:rPr>
          <w:rFonts w:hint="eastAsia" w:ascii="宋体" w:hAnsi="宋体"/>
          <w:sz w:val="24"/>
          <w:szCs w:val="24"/>
        </w:rPr>
        <w:t>条约定而发生的索赔，甲方将从履约保证金中扣除索赔金额，不足部分甲方有权要求乙方另行赔偿。</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甲方将在乙方完成全部合同义务后1个月内将履约保证金全额退还至乙方原付款账户。甲方不承担保证金的利息；如乙方未将履约保证金或竞价服务费付至甲方指定账户（以竞价公告或甲方通知为准），导致履约保证金不能及时退还，所产生的费用及风险由乙方承担。</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争议解决</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凡因本合同引起的或与本合同有关的，包括但不限于与合同成立、生效、履行、违约、解除、终止、解释有关的任何争议，各方应通过友好协商的方式解决。协商不成或者一方不愿协商的，任何一方可且仅可向甲方所在地人民法院提起诉讼。</w:t>
      </w:r>
      <w:r>
        <w:rPr>
          <w:rFonts w:hint="eastAsia" w:ascii="宋体" w:hAnsi="宋体"/>
          <w:sz w:val="24"/>
          <w:szCs w:val="24"/>
        </w:rPr>
        <w:t>费用由败诉方承担。</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本合同适用中华人民共和国法律。</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通知</w:t>
      </w:r>
    </w:p>
    <w:p>
      <w:pPr>
        <w:tabs>
          <w:tab w:val="left" w:pos="1276"/>
        </w:tabs>
        <w:spacing w:line="300" w:lineRule="exact"/>
        <w:ind w:firstLine="480" w:firstLineChars="200"/>
        <w:outlineLvl w:val="0"/>
        <w:rPr>
          <w:rFonts w:ascii="宋体" w:hAnsi="宋体"/>
          <w:sz w:val="24"/>
          <w:szCs w:val="24"/>
        </w:rPr>
      </w:pPr>
      <w:r>
        <w:rPr>
          <w:rFonts w:ascii="宋体" w:hAnsi="宋体"/>
          <w:sz w:val="24"/>
          <w:szCs w:val="24"/>
        </w:rPr>
        <w:t>双方传递合同履行中的相关信息时，应以书面形式</w:t>
      </w:r>
      <w:r>
        <w:rPr>
          <w:rFonts w:hint="eastAsia" w:ascii="宋体" w:hAnsi="宋体"/>
          <w:sz w:val="24"/>
          <w:szCs w:val="24"/>
        </w:rPr>
        <w:t>传递</w:t>
      </w:r>
      <w:r>
        <w:rPr>
          <w:rFonts w:ascii="宋体" w:hAnsi="宋体"/>
          <w:sz w:val="24"/>
          <w:szCs w:val="24"/>
        </w:rPr>
        <w:t>，</w:t>
      </w:r>
      <w:r>
        <w:rPr>
          <w:rFonts w:hint="eastAsia" w:ascii="宋体" w:hAnsi="宋体"/>
          <w:sz w:val="24"/>
          <w:szCs w:val="24"/>
        </w:rPr>
        <w:t>包括但不限于</w:t>
      </w:r>
      <w:r>
        <w:rPr>
          <w:rFonts w:ascii="宋体" w:hAnsi="宋体"/>
          <w:sz w:val="24"/>
          <w:szCs w:val="24"/>
        </w:rPr>
        <w:t>电子邮件、传真、信函、微信信息、短信、挂号邮传等</w:t>
      </w:r>
      <w:r>
        <w:rPr>
          <w:rFonts w:hint="eastAsia" w:ascii="宋体" w:hAnsi="宋体"/>
          <w:sz w:val="24"/>
          <w:szCs w:val="24"/>
        </w:rPr>
        <w:t>，且</w:t>
      </w:r>
      <w:r>
        <w:rPr>
          <w:rFonts w:ascii="宋体" w:hAnsi="宋体"/>
          <w:sz w:val="24"/>
          <w:szCs w:val="24"/>
        </w:rPr>
        <w:t>传递</w:t>
      </w:r>
      <w:r>
        <w:rPr>
          <w:rFonts w:hint="eastAsia" w:ascii="宋体" w:hAnsi="宋体"/>
          <w:sz w:val="24"/>
          <w:szCs w:val="24"/>
        </w:rPr>
        <w:t>至</w:t>
      </w:r>
      <w:r>
        <w:rPr>
          <w:rFonts w:ascii="宋体" w:hAnsi="宋体"/>
          <w:sz w:val="24"/>
          <w:szCs w:val="24"/>
        </w:rPr>
        <w:t>本合同指定地址，</w:t>
      </w:r>
      <w:r>
        <w:rPr>
          <w:rFonts w:hint="eastAsia" w:ascii="宋体" w:hAnsi="宋体"/>
          <w:sz w:val="24"/>
          <w:szCs w:val="24"/>
        </w:rPr>
        <w:t>合同中</w:t>
      </w:r>
      <w:r>
        <w:rPr>
          <w:rFonts w:ascii="宋体" w:hAnsi="宋体"/>
          <w:sz w:val="24"/>
          <w:szCs w:val="24"/>
        </w:rPr>
        <w:t>另有约定</w:t>
      </w:r>
      <w:r>
        <w:rPr>
          <w:rFonts w:hint="eastAsia" w:ascii="宋体" w:hAnsi="宋体"/>
          <w:sz w:val="24"/>
          <w:szCs w:val="24"/>
        </w:rPr>
        <w:t>或甲方另行要求</w:t>
      </w:r>
      <w:r>
        <w:rPr>
          <w:rFonts w:ascii="宋体" w:hAnsi="宋体"/>
          <w:sz w:val="24"/>
          <w:szCs w:val="24"/>
        </w:rPr>
        <w:t>的除外。</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合同生效及有效期</w:t>
      </w:r>
    </w:p>
    <w:p>
      <w:pPr>
        <w:tabs>
          <w:tab w:val="left" w:pos="1276"/>
        </w:tabs>
        <w:spacing w:line="300" w:lineRule="exact"/>
        <w:ind w:firstLine="480" w:firstLineChars="200"/>
        <w:outlineLvl w:val="0"/>
        <w:rPr>
          <w:rFonts w:ascii="宋体" w:hAnsi="宋体"/>
          <w:sz w:val="24"/>
          <w:szCs w:val="24"/>
        </w:rPr>
      </w:pPr>
      <w:r>
        <w:rPr>
          <w:rFonts w:ascii="宋体" w:hAnsi="宋体"/>
          <w:sz w:val="24"/>
          <w:szCs w:val="24"/>
        </w:rPr>
        <w:t>本合同经双方法定代表人或授权代表签署并盖章之日起生效，有效期为</w:t>
      </w:r>
      <w:r>
        <w:rPr>
          <w:rStyle w:val="40"/>
          <w:u w:val="single"/>
        </w:rPr>
        <w:t>6</w:t>
      </w:r>
      <w:r>
        <w:rPr>
          <w:rFonts w:ascii="宋体" w:hAnsi="宋体"/>
          <w:sz w:val="24"/>
          <w:szCs w:val="24"/>
        </w:rPr>
        <w:t>个月。</w:t>
      </w:r>
    </w:p>
    <w:p>
      <w:pPr>
        <w:pStyle w:val="20"/>
        <w:numPr>
          <w:ilvl w:val="0"/>
          <w:numId w:val="1"/>
        </w:numPr>
        <w:spacing w:before="120" w:line="300" w:lineRule="exact"/>
        <w:ind w:firstLineChars="0"/>
        <w:outlineLvl w:val="0"/>
        <w:rPr>
          <w:rFonts w:ascii="宋体" w:hAnsi="宋体"/>
          <w:b/>
          <w:bCs/>
          <w:sz w:val="24"/>
          <w:szCs w:val="24"/>
        </w:rPr>
      </w:pPr>
      <w:r>
        <w:rPr>
          <w:rFonts w:hint="eastAsia" w:ascii="宋体" w:hAnsi="宋体"/>
          <w:b/>
          <w:bCs/>
          <w:sz w:val="24"/>
          <w:szCs w:val="24"/>
        </w:rPr>
        <w:t>合同的变更及解除</w:t>
      </w:r>
    </w:p>
    <w:p>
      <w:pPr>
        <w:tabs>
          <w:tab w:val="left" w:pos="1276"/>
        </w:tabs>
        <w:spacing w:line="300" w:lineRule="exact"/>
        <w:ind w:firstLine="480" w:firstLineChars="200"/>
        <w:outlineLvl w:val="0"/>
        <w:rPr>
          <w:rFonts w:ascii="宋体" w:hAnsi="宋体"/>
          <w:sz w:val="24"/>
          <w:szCs w:val="24"/>
        </w:rPr>
      </w:pPr>
      <w:r>
        <w:rPr>
          <w:rFonts w:hint="eastAsia" w:ascii="宋体" w:hAnsi="宋体"/>
          <w:sz w:val="24"/>
          <w:szCs w:val="24"/>
        </w:rPr>
        <w:t>本合同生效后，任何一方均不得擅自变更或解除。如确需变更或解除，应经双方协商一致并达成书面协议。书面协议达成之前，本合同继续有效。</w:t>
      </w:r>
    </w:p>
    <w:p>
      <w:pPr>
        <w:pStyle w:val="20"/>
        <w:numPr>
          <w:ilvl w:val="0"/>
          <w:numId w:val="1"/>
        </w:numPr>
        <w:spacing w:before="120" w:line="300" w:lineRule="exact"/>
        <w:ind w:firstLineChars="0"/>
        <w:outlineLvl w:val="0"/>
        <w:rPr>
          <w:rFonts w:ascii="宋体" w:hAnsi="宋体"/>
          <w:b/>
          <w:bCs/>
          <w:sz w:val="24"/>
          <w:szCs w:val="24"/>
        </w:rPr>
      </w:pPr>
      <w:r>
        <w:rPr>
          <w:rFonts w:ascii="宋体" w:hAnsi="宋体"/>
          <w:b/>
          <w:bCs/>
          <w:sz w:val="24"/>
          <w:szCs w:val="24"/>
        </w:rPr>
        <w:t>其他</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乙方对在合同履行过程中接触到的甲方的任何文件、资料、数据(无论是书面或电子的)，以及对甲方的任何交付物，负有为甲方保密的责任。未经甲方书面同意，乙方不得以任何方式向任何第三方提供或透露。乙方的保密义务在本合同期满、解除或终止后仍然有效。</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本合同签订后，任何一方未经</w:t>
      </w:r>
      <w:r>
        <w:rPr>
          <w:rFonts w:hint="eastAsia" w:ascii="宋体" w:hAnsi="宋体"/>
          <w:sz w:val="24"/>
          <w:szCs w:val="24"/>
        </w:rPr>
        <w:t>另一</w:t>
      </w:r>
      <w:r>
        <w:rPr>
          <w:rFonts w:ascii="宋体" w:hAnsi="宋体"/>
          <w:sz w:val="24"/>
          <w:szCs w:val="24"/>
        </w:rPr>
        <w:t>方书面同意，不得转让其合同</w:t>
      </w:r>
      <w:r>
        <w:rPr>
          <w:rFonts w:hint="eastAsia" w:ascii="宋体" w:hAnsi="宋体"/>
          <w:sz w:val="24"/>
          <w:szCs w:val="24"/>
        </w:rPr>
        <w:t>约定</w:t>
      </w:r>
      <w:r>
        <w:rPr>
          <w:rFonts w:ascii="宋体" w:hAnsi="宋体"/>
          <w:sz w:val="24"/>
          <w:szCs w:val="24"/>
        </w:rPr>
        <w:t>的</w:t>
      </w:r>
      <w:r>
        <w:rPr>
          <w:rFonts w:hint="eastAsia" w:ascii="宋体" w:hAnsi="宋体"/>
          <w:sz w:val="24"/>
          <w:szCs w:val="24"/>
        </w:rPr>
        <w:t>任何</w:t>
      </w:r>
      <w:r>
        <w:rPr>
          <w:rFonts w:ascii="宋体" w:hAnsi="宋体"/>
          <w:sz w:val="24"/>
          <w:szCs w:val="24"/>
        </w:rPr>
        <w:t>义务。</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本合同仅为约定双方</w:t>
      </w:r>
      <w:r>
        <w:rPr>
          <w:rFonts w:ascii="宋体" w:hAnsi="宋体"/>
          <w:sz w:val="24"/>
          <w:szCs w:val="24"/>
        </w:rPr>
        <w:t>供需</w:t>
      </w:r>
      <w:r>
        <w:rPr>
          <w:rFonts w:hint="eastAsia" w:ascii="宋体" w:hAnsi="宋体"/>
          <w:sz w:val="24"/>
          <w:szCs w:val="24"/>
        </w:rPr>
        <w:t>之目的，乙方未经买方书面同意不得用于融资等其它用途。</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ascii="宋体" w:hAnsi="宋体"/>
          <w:sz w:val="24"/>
          <w:szCs w:val="24"/>
        </w:rPr>
        <w:t>本合同正本一式</w:t>
      </w:r>
      <w:r>
        <w:rPr>
          <w:rFonts w:hint="eastAsia" w:ascii="宋体" w:hAnsi="宋体"/>
          <w:sz w:val="24"/>
          <w:szCs w:val="24"/>
        </w:rPr>
        <w:t>6</w:t>
      </w:r>
      <w:r>
        <w:rPr>
          <w:rFonts w:ascii="宋体" w:hAnsi="宋体"/>
          <w:sz w:val="24"/>
          <w:szCs w:val="24"/>
        </w:rPr>
        <w:t>份，</w:t>
      </w:r>
      <w:r>
        <w:rPr>
          <w:rFonts w:hint="eastAsia" w:ascii="宋体" w:hAnsi="宋体"/>
          <w:sz w:val="24"/>
          <w:szCs w:val="24"/>
        </w:rPr>
        <w:t>甲方执4</w:t>
      </w:r>
      <w:r>
        <w:rPr>
          <w:rFonts w:ascii="宋体" w:hAnsi="宋体"/>
          <w:sz w:val="24"/>
          <w:szCs w:val="24"/>
        </w:rPr>
        <w:t>份</w:t>
      </w:r>
      <w:r>
        <w:rPr>
          <w:rFonts w:hint="eastAsia" w:ascii="宋体" w:hAnsi="宋体"/>
          <w:sz w:val="24"/>
          <w:szCs w:val="24"/>
        </w:rPr>
        <w:t>，乙方</w:t>
      </w:r>
      <w:r>
        <w:rPr>
          <w:rFonts w:ascii="宋体" w:hAnsi="宋体"/>
          <w:sz w:val="24"/>
          <w:szCs w:val="24"/>
        </w:rPr>
        <w:t>2份。</w:t>
      </w:r>
    </w:p>
    <w:p>
      <w:pPr>
        <w:pStyle w:val="20"/>
        <w:numPr>
          <w:ilvl w:val="0"/>
          <w:numId w:val="1"/>
        </w:numPr>
        <w:spacing w:before="120" w:line="300" w:lineRule="exact"/>
        <w:ind w:firstLineChars="0"/>
        <w:outlineLvl w:val="0"/>
        <w:rPr>
          <w:rFonts w:ascii="宋体" w:hAnsi="宋体"/>
          <w:b/>
          <w:bCs/>
          <w:sz w:val="24"/>
          <w:szCs w:val="24"/>
        </w:rPr>
      </w:pPr>
      <w:r>
        <w:rPr>
          <w:rFonts w:hint="eastAsia" w:ascii="宋体" w:hAnsi="宋体"/>
          <w:b/>
          <w:bCs/>
          <w:sz w:val="24"/>
          <w:szCs w:val="24"/>
        </w:rPr>
        <w:t>附加约定</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通用约定：</w:t>
      </w:r>
      <w:r>
        <w:rPr>
          <w:rFonts w:ascii="宋体" w:hAnsi="宋体"/>
          <w:sz w:val="24"/>
          <w:szCs w:val="24"/>
        </w:rPr>
        <w:t>无。</w:t>
      </w:r>
    </w:p>
    <w:p>
      <w:pPr>
        <w:pStyle w:val="20"/>
        <w:numPr>
          <w:ilvl w:val="1"/>
          <w:numId w:val="1"/>
        </w:numPr>
        <w:tabs>
          <w:tab w:val="left" w:pos="993"/>
        </w:tabs>
        <w:spacing w:line="300" w:lineRule="exact"/>
        <w:ind w:left="0" w:firstLine="425" w:firstLineChars="0"/>
        <w:outlineLvl w:val="0"/>
        <w:rPr>
          <w:rFonts w:ascii="宋体" w:hAnsi="宋体"/>
          <w:sz w:val="24"/>
          <w:szCs w:val="24"/>
        </w:rPr>
      </w:pPr>
      <w:r>
        <w:rPr>
          <w:rFonts w:hint="eastAsia" w:ascii="宋体" w:hAnsi="宋体"/>
          <w:sz w:val="24"/>
          <w:szCs w:val="24"/>
        </w:rPr>
        <w:t>若本条约定与合同其它条款有冲突，以本条约定为准。</w:t>
      </w:r>
    </w:p>
    <w:p>
      <w:pPr>
        <w:spacing w:line="340" w:lineRule="exact"/>
        <w:rPr>
          <w:rFonts w:ascii="宋体" w:hAnsi="宋体"/>
          <w:iCs/>
          <w:sz w:val="24"/>
          <w:szCs w:val="24"/>
        </w:rPr>
      </w:pPr>
    </w:p>
    <w:p>
      <w:pPr>
        <w:spacing w:line="340" w:lineRule="exact"/>
        <w:rPr>
          <w:rFonts w:ascii="宋体" w:hAnsi="宋体"/>
          <w:i/>
          <w:sz w:val="24"/>
          <w:szCs w:val="24"/>
        </w:rPr>
      </w:pPr>
    </w:p>
    <w:p>
      <w:pPr>
        <w:spacing w:line="340" w:lineRule="exact"/>
        <w:rPr>
          <w:rFonts w:ascii="宋体" w:hAnsi="宋体"/>
          <w:i/>
          <w:sz w:val="24"/>
          <w:szCs w:val="24"/>
        </w:rPr>
      </w:pPr>
    </w:p>
    <w:p>
      <w:pPr>
        <w:spacing w:line="340" w:lineRule="exact"/>
        <w:rPr>
          <w:rFonts w:ascii="宋体" w:hAnsi="宋体"/>
          <w:i/>
          <w:sz w:val="24"/>
          <w:szCs w:val="24"/>
        </w:rPr>
      </w:pPr>
    </w:p>
    <w:p>
      <w:pPr>
        <w:spacing w:line="340" w:lineRule="exact"/>
        <w:rPr>
          <w:rFonts w:ascii="宋体" w:hAnsi="宋体"/>
          <w:i/>
          <w:sz w:val="24"/>
          <w:szCs w:val="24"/>
        </w:rPr>
      </w:pPr>
      <w:r>
        <w:rPr>
          <w:rFonts w:ascii="宋体" w:hAnsi="宋体"/>
          <w:i/>
          <w:sz w:val="24"/>
          <w:szCs w:val="24"/>
        </w:rPr>
        <w:t>（签字行</w:t>
      </w:r>
      <w:r>
        <w:rPr>
          <w:rFonts w:hint="eastAsia" w:ascii="宋体" w:hAnsi="宋体"/>
          <w:i/>
          <w:sz w:val="24"/>
          <w:szCs w:val="24"/>
        </w:rPr>
        <w:t>：</w:t>
      </w:r>
      <w:r>
        <w:rPr>
          <w:rFonts w:ascii="宋体" w:hAnsi="宋体"/>
          <w:i/>
          <w:sz w:val="24"/>
          <w:szCs w:val="24"/>
        </w:rPr>
        <w:t>见以下或下页）</w:t>
      </w:r>
    </w:p>
    <w:p>
      <w:pPr>
        <w:spacing w:line="340" w:lineRule="exact"/>
        <w:rPr>
          <w:rFonts w:ascii="宋体" w:hAnsi="宋体"/>
          <w:i/>
          <w:sz w:val="24"/>
          <w:szCs w:val="24"/>
        </w:rPr>
      </w:pPr>
    </w:p>
    <w:tbl>
      <w:tblPr>
        <w:tblStyle w:val="14"/>
        <w:tblW w:w="10348" w:type="dxa"/>
        <w:tblInd w:w="-5" w:type="dxa"/>
        <w:tblLayout w:type="fixed"/>
        <w:tblCellMar>
          <w:top w:w="0" w:type="dxa"/>
          <w:left w:w="108" w:type="dxa"/>
          <w:bottom w:w="0" w:type="dxa"/>
          <w:right w:w="108" w:type="dxa"/>
        </w:tblCellMar>
      </w:tblPr>
      <w:tblGrid>
        <w:gridCol w:w="1276"/>
        <w:gridCol w:w="3827"/>
        <w:gridCol w:w="1276"/>
        <w:gridCol w:w="3969"/>
      </w:tblGrid>
      <w:tr>
        <w:tblPrEx>
          <w:tblLayout w:type="fixed"/>
          <w:tblCellMar>
            <w:top w:w="0" w:type="dxa"/>
            <w:left w:w="108" w:type="dxa"/>
            <w:bottom w:w="0" w:type="dxa"/>
            <w:right w:w="108" w:type="dxa"/>
          </w:tblCellMar>
        </w:tblPrEx>
        <w:trPr>
          <w:trHeight w:val="70" w:hRule="atLeast"/>
          <w:tblHeader/>
        </w:trPr>
        <w:tc>
          <w:tcPr>
            <w:tcW w:w="510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bCs/>
                <w:sz w:val="24"/>
                <w:szCs w:val="24"/>
              </w:rPr>
            </w:pPr>
            <w:r>
              <w:rPr>
                <w:rFonts w:ascii="宋体" w:hAnsi="宋体"/>
                <w:b/>
                <w:bCs/>
                <w:sz w:val="24"/>
                <w:szCs w:val="24"/>
              </w:rPr>
              <w:t>买方（甲方）</w:t>
            </w:r>
          </w:p>
        </w:tc>
        <w:tc>
          <w:tcPr>
            <w:tcW w:w="5245" w:type="dxa"/>
            <w:gridSpan w:val="2"/>
            <w:tcBorders>
              <w:top w:val="single" w:color="auto" w:sz="4" w:space="0"/>
              <w:left w:val="nil"/>
              <w:bottom w:val="single" w:color="auto" w:sz="4" w:space="0"/>
              <w:right w:val="single" w:color="auto" w:sz="4" w:space="0"/>
            </w:tcBorders>
            <w:vAlign w:val="center"/>
          </w:tcPr>
          <w:p>
            <w:pPr>
              <w:jc w:val="center"/>
              <w:rPr>
                <w:rFonts w:ascii="宋体" w:hAnsi="宋体"/>
                <w:b/>
                <w:bCs/>
                <w:sz w:val="24"/>
                <w:szCs w:val="24"/>
              </w:rPr>
            </w:pPr>
            <w:r>
              <w:rPr>
                <w:rFonts w:ascii="宋体" w:hAnsi="宋体"/>
                <w:b/>
                <w:bCs/>
                <w:sz w:val="24"/>
                <w:szCs w:val="24"/>
              </w:rPr>
              <w:t>卖方（乙方）</w:t>
            </w:r>
          </w:p>
        </w:tc>
      </w:tr>
      <w:tr>
        <w:tblPrEx>
          <w:tblLayout w:type="fixed"/>
          <w:tblCellMar>
            <w:top w:w="0" w:type="dxa"/>
            <w:left w:w="108" w:type="dxa"/>
            <w:bottom w:w="0" w:type="dxa"/>
            <w:right w:w="108" w:type="dxa"/>
          </w:tblCellMar>
        </w:tblPrEx>
        <w:trPr>
          <w:trHeight w:val="175" w:hRule="atLeast"/>
        </w:trPr>
        <w:tc>
          <w:tcPr>
            <w:tcW w:w="1276" w:type="dxa"/>
            <w:tcBorders>
              <w:top w:val="single" w:color="auto" w:sz="4" w:space="0"/>
              <w:left w:val="single" w:color="auto" w:sz="4" w:space="0"/>
              <w:bottom w:val="single" w:color="auto" w:sz="4" w:space="0"/>
              <w:right w:val="single" w:color="auto" w:sz="4" w:space="0"/>
            </w:tcBorders>
            <w:vAlign w:val="center"/>
          </w:tcPr>
          <w:p>
            <w:pPr>
              <w:ind w:left="-105" w:leftChars="-50" w:right="-105" w:rightChars="-50"/>
              <w:jc w:val="center"/>
              <w:rPr>
                <w:rFonts w:ascii="宋体" w:hAnsi="宋体"/>
                <w:sz w:val="24"/>
              </w:rPr>
            </w:pPr>
            <w:r>
              <w:rPr>
                <w:rFonts w:hint="eastAsia" w:ascii="宋体" w:hAnsi="宋体"/>
                <w:sz w:val="24"/>
              </w:rPr>
              <w:t>公司</w:t>
            </w:r>
            <w:r>
              <w:rPr>
                <w:rFonts w:ascii="宋体" w:hAnsi="宋体"/>
                <w:sz w:val="24"/>
              </w:rPr>
              <w:t>名称（章）</w:t>
            </w:r>
          </w:p>
        </w:tc>
        <w:tc>
          <w:tcPr>
            <w:tcW w:w="3827" w:type="dxa"/>
            <w:tcBorders>
              <w:top w:val="single" w:color="auto" w:sz="4" w:space="0"/>
              <w:left w:val="nil"/>
              <w:bottom w:val="single" w:color="auto" w:sz="4" w:space="0"/>
              <w:right w:val="single" w:color="auto" w:sz="4" w:space="0"/>
            </w:tcBorders>
            <w:vAlign w:val="center"/>
          </w:tcPr>
          <w:p>
            <w:pPr>
              <w:rPr>
                <w:sz w:val="36"/>
                <w:szCs w:val="36"/>
              </w:rPr>
            </w:pPr>
            <w:r>
              <w:rPr>
                <w:rFonts w:hint="eastAsia" w:ascii="宋体" w:hAnsi="宋体"/>
                <w:sz w:val="24"/>
              </w:rPr>
              <w:t>辽宁大唐国际新能源有限公司锦州热电分公司</w:t>
            </w:r>
          </w:p>
          <w:p>
            <w:pPr>
              <w:jc w:val="center"/>
              <w:rPr>
                <w:rFonts w:ascii="宋体" w:hAnsi="宋体"/>
                <w:sz w:val="24"/>
              </w:rPr>
            </w:pPr>
          </w:p>
        </w:tc>
        <w:tc>
          <w:tcPr>
            <w:tcW w:w="1276" w:type="dxa"/>
            <w:tcBorders>
              <w:top w:val="single" w:color="auto" w:sz="4" w:space="0"/>
              <w:left w:val="nil"/>
              <w:bottom w:val="single" w:color="auto" w:sz="4" w:space="0"/>
              <w:right w:val="single" w:color="auto" w:sz="4" w:space="0"/>
            </w:tcBorders>
            <w:vAlign w:val="center"/>
          </w:tcPr>
          <w:p>
            <w:pPr>
              <w:ind w:left="-113" w:leftChars="-54" w:right="-109" w:rightChars="-52"/>
              <w:jc w:val="center"/>
              <w:rPr>
                <w:rFonts w:ascii="宋体" w:hAnsi="宋体"/>
                <w:sz w:val="24"/>
              </w:rPr>
            </w:pPr>
            <w:r>
              <w:rPr>
                <w:rFonts w:hint="eastAsia" w:ascii="宋体" w:hAnsi="宋体"/>
                <w:sz w:val="24"/>
              </w:rPr>
              <w:t>公司</w:t>
            </w:r>
            <w:r>
              <w:rPr>
                <w:rFonts w:ascii="宋体" w:hAnsi="宋体"/>
                <w:sz w:val="24"/>
              </w:rPr>
              <w:t>名称（章）</w:t>
            </w:r>
          </w:p>
        </w:tc>
        <w:tc>
          <w:tcPr>
            <w:tcW w:w="3969" w:type="dxa"/>
            <w:tcBorders>
              <w:top w:val="single" w:color="auto" w:sz="4" w:space="0"/>
              <w:left w:val="nil"/>
              <w:bottom w:val="single" w:color="auto" w:sz="4" w:space="0"/>
              <w:right w:val="single" w:color="auto" w:sz="4" w:space="0"/>
            </w:tcBorders>
            <w:vAlign w:val="center"/>
          </w:tcPr>
          <w:p>
            <w:pPr>
              <w:jc w:val="center"/>
              <w:rPr>
                <w:rFonts w:ascii="宋体" w:hAnsi="宋体"/>
                <w:sz w:val="24"/>
                <w:szCs w:val="24"/>
              </w:rPr>
            </w:pPr>
          </w:p>
        </w:tc>
      </w:tr>
      <w:tr>
        <w:tblPrEx>
          <w:tblLayout w:type="fixed"/>
          <w:tblCellMar>
            <w:top w:w="0" w:type="dxa"/>
            <w:left w:w="108" w:type="dxa"/>
            <w:bottom w:w="0" w:type="dxa"/>
            <w:right w:w="108" w:type="dxa"/>
          </w:tblCellMar>
        </w:tblPrEx>
        <w:trPr>
          <w:trHeight w:val="497" w:hRule="atLeast"/>
        </w:trPr>
        <w:tc>
          <w:tcPr>
            <w:tcW w:w="1276" w:type="dxa"/>
            <w:tcBorders>
              <w:top w:val="single" w:color="auto" w:sz="4" w:space="0"/>
              <w:left w:val="single" w:color="auto" w:sz="4" w:space="0"/>
              <w:bottom w:val="single" w:color="auto" w:sz="4" w:space="0"/>
              <w:right w:val="single" w:color="auto" w:sz="4" w:space="0"/>
            </w:tcBorders>
            <w:vAlign w:val="center"/>
          </w:tcPr>
          <w:p>
            <w:pPr>
              <w:ind w:left="-105" w:leftChars="-50" w:right="-105" w:rightChars="-50"/>
              <w:jc w:val="center"/>
              <w:rPr>
                <w:rFonts w:ascii="宋体" w:hAnsi="宋体"/>
                <w:sz w:val="24"/>
              </w:rPr>
            </w:pPr>
            <w:r>
              <w:rPr>
                <w:rFonts w:ascii="宋体" w:hAnsi="宋体"/>
                <w:sz w:val="24"/>
              </w:rPr>
              <w:t>法定代表人</w:t>
            </w:r>
          </w:p>
          <w:p>
            <w:pPr>
              <w:ind w:left="-105" w:leftChars="-50" w:right="-105" w:rightChars="-50"/>
              <w:jc w:val="center"/>
              <w:rPr>
                <w:rFonts w:ascii="宋体" w:hAnsi="宋体"/>
                <w:sz w:val="24"/>
              </w:rPr>
            </w:pPr>
            <w:r>
              <w:rPr>
                <w:rFonts w:ascii="宋体" w:hAnsi="宋体"/>
                <w:sz w:val="24"/>
              </w:rPr>
              <w:t>或授权代表</w:t>
            </w:r>
            <w:r>
              <w:rPr>
                <w:rFonts w:hint="eastAsia" w:ascii="宋体" w:hAnsi="宋体"/>
                <w:sz w:val="24"/>
              </w:rPr>
              <w:t>签字</w:t>
            </w:r>
          </w:p>
        </w:tc>
        <w:tc>
          <w:tcPr>
            <w:tcW w:w="3827" w:type="dxa"/>
            <w:tcBorders>
              <w:top w:val="single" w:color="auto" w:sz="4" w:space="0"/>
              <w:left w:val="nil"/>
              <w:bottom w:val="single" w:color="auto" w:sz="4" w:space="0"/>
              <w:right w:val="single" w:color="auto" w:sz="4" w:space="0"/>
            </w:tcBorders>
            <w:vAlign w:val="bottom"/>
          </w:tcPr>
          <w:p>
            <w:pPr>
              <w:jc w:val="right"/>
              <w:rPr>
                <w:rFonts w:ascii="宋体" w:hAnsi="宋体"/>
                <w:b/>
                <w:bCs/>
                <w:sz w:val="24"/>
                <w:szCs w:val="32"/>
              </w:rPr>
            </w:pPr>
            <w:r>
              <w:rPr>
                <w:rFonts w:hint="eastAsia" w:ascii="宋体" w:hAnsi="宋体"/>
                <w:b/>
                <w:bCs/>
                <w:sz w:val="24"/>
                <w:szCs w:val="32"/>
              </w:rPr>
              <w:t>签字：_</w:t>
            </w:r>
            <w:r>
              <w:rPr>
                <w:rFonts w:ascii="宋体" w:hAnsi="宋体"/>
                <w:b/>
                <w:bCs/>
                <w:sz w:val="24"/>
                <w:szCs w:val="32"/>
              </w:rPr>
              <w:t>___________________</w:t>
            </w:r>
          </w:p>
          <w:p>
            <w:pPr>
              <w:spacing w:before="78" w:beforeLines="25"/>
              <w:jc w:val="right"/>
              <w:rPr>
                <w:rFonts w:ascii="宋体" w:hAnsi="宋体"/>
                <w:b/>
                <w:bCs/>
                <w:sz w:val="24"/>
                <w:szCs w:val="32"/>
              </w:rPr>
            </w:pPr>
            <w:r>
              <w:rPr>
                <w:rFonts w:hint="eastAsia" w:ascii="宋体" w:hAnsi="宋体"/>
                <w:b/>
                <w:bCs/>
                <w:sz w:val="24"/>
                <w:szCs w:val="32"/>
              </w:rPr>
              <w:t>20__年__月__日</w:t>
            </w:r>
          </w:p>
        </w:tc>
        <w:tc>
          <w:tcPr>
            <w:tcW w:w="1276" w:type="dxa"/>
            <w:tcBorders>
              <w:top w:val="single" w:color="auto" w:sz="4" w:space="0"/>
              <w:left w:val="nil"/>
              <w:bottom w:val="single" w:color="auto" w:sz="4" w:space="0"/>
              <w:right w:val="single" w:color="auto" w:sz="4" w:space="0"/>
            </w:tcBorders>
            <w:vAlign w:val="center"/>
          </w:tcPr>
          <w:p>
            <w:pPr>
              <w:ind w:left="-113" w:leftChars="-54" w:right="-109" w:rightChars="-52"/>
              <w:jc w:val="center"/>
              <w:rPr>
                <w:rFonts w:ascii="宋体" w:hAnsi="宋体"/>
                <w:sz w:val="24"/>
              </w:rPr>
            </w:pPr>
            <w:r>
              <w:rPr>
                <w:rFonts w:ascii="宋体" w:hAnsi="宋体"/>
                <w:sz w:val="24"/>
              </w:rPr>
              <w:t>法定代表人</w:t>
            </w:r>
          </w:p>
          <w:p>
            <w:pPr>
              <w:ind w:left="-113" w:leftChars="-54" w:right="-109" w:rightChars="-52"/>
              <w:jc w:val="center"/>
              <w:rPr>
                <w:rFonts w:ascii="宋体" w:hAnsi="宋体"/>
                <w:sz w:val="24"/>
              </w:rPr>
            </w:pPr>
            <w:r>
              <w:rPr>
                <w:rFonts w:ascii="宋体" w:hAnsi="宋体"/>
                <w:sz w:val="24"/>
              </w:rPr>
              <w:t>或授权代表</w:t>
            </w:r>
            <w:r>
              <w:rPr>
                <w:rFonts w:hint="eastAsia" w:ascii="宋体" w:hAnsi="宋体"/>
                <w:sz w:val="24"/>
              </w:rPr>
              <w:t>签字</w:t>
            </w:r>
          </w:p>
        </w:tc>
        <w:tc>
          <w:tcPr>
            <w:tcW w:w="3969" w:type="dxa"/>
            <w:tcBorders>
              <w:top w:val="single" w:color="auto" w:sz="4" w:space="0"/>
              <w:left w:val="nil"/>
              <w:bottom w:val="single" w:color="auto" w:sz="4" w:space="0"/>
              <w:right w:val="single" w:color="auto" w:sz="4" w:space="0"/>
            </w:tcBorders>
            <w:vAlign w:val="bottom"/>
          </w:tcPr>
          <w:p>
            <w:pPr>
              <w:jc w:val="right"/>
              <w:rPr>
                <w:rFonts w:ascii="宋体" w:hAnsi="宋体"/>
                <w:b/>
                <w:bCs/>
                <w:sz w:val="24"/>
                <w:szCs w:val="32"/>
              </w:rPr>
            </w:pPr>
            <w:r>
              <w:rPr>
                <w:rFonts w:hint="eastAsia" w:ascii="宋体" w:hAnsi="宋体"/>
                <w:b/>
                <w:bCs/>
                <w:sz w:val="24"/>
                <w:szCs w:val="32"/>
              </w:rPr>
              <w:t>签字：_</w:t>
            </w:r>
            <w:r>
              <w:rPr>
                <w:rFonts w:ascii="宋体" w:hAnsi="宋体"/>
                <w:b/>
                <w:bCs/>
                <w:sz w:val="24"/>
                <w:szCs w:val="32"/>
              </w:rPr>
              <w:t>___________________</w:t>
            </w:r>
          </w:p>
          <w:p>
            <w:pPr>
              <w:spacing w:before="78" w:beforeLines="25"/>
              <w:jc w:val="right"/>
              <w:rPr>
                <w:rFonts w:ascii="宋体" w:hAnsi="宋体"/>
                <w:b/>
                <w:bCs/>
                <w:sz w:val="24"/>
                <w:szCs w:val="32"/>
              </w:rPr>
            </w:pPr>
            <w:r>
              <w:rPr>
                <w:rFonts w:hint="eastAsia" w:ascii="宋体" w:hAnsi="宋体"/>
                <w:b/>
                <w:bCs/>
                <w:sz w:val="24"/>
                <w:szCs w:val="32"/>
              </w:rPr>
              <w:t>20__年__月__日</w:t>
            </w:r>
          </w:p>
        </w:tc>
      </w:tr>
      <w:tr>
        <w:tblPrEx>
          <w:tblLayout w:type="fixed"/>
          <w:tblCellMar>
            <w:top w:w="0" w:type="dxa"/>
            <w:left w:w="108" w:type="dxa"/>
            <w:bottom w:w="0" w:type="dxa"/>
            <w:right w:w="108" w:type="dxa"/>
          </w:tblCellMar>
        </w:tblPrEx>
        <w:trPr>
          <w:trHeight w:val="70" w:hRule="atLeast"/>
        </w:trPr>
        <w:tc>
          <w:tcPr>
            <w:tcW w:w="1276" w:type="dxa"/>
            <w:tcBorders>
              <w:top w:val="single" w:color="auto" w:sz="4" w:space="0"/>
              <w:left w:val="single" w:color="auto" w:sz="4" w:space="0"/>
              <w:bottom w:val="single" w:color="auto" w:sz="4" w:space="0"/>
              <w:right w:val="single" w:color="auto" w:sz="4" w:space="0"/>
            </w:tcBorders>
            <w:vAlign w:val="center"/>
          </w:tcPr>
          <w:p>
            <w:pPr>
              <w:ind w:left="-105" w:leftChars="-50" w:right="-105" w:rightChars="-50"/>
              <w:jc w:val="center"/>
              <w:rPr>
                <w:rFonts w:ascii="宋体" w:hAnsi="宋体"/>
                <w:sz w:val="24"/>
              </w:rPr>
            </w:pPr>
            <w:r>
              <w:rPr>
                <w:rFonts w:hint="eastAsia" w:ascii="宋体" w:hAnsi="宋体"/>
                <w:sz w:val="24"/>
              </w:rPr>
              <w:t>营业</w:t>
            </w:r>
            <w:r>
              <w:rPr>
                <w:rFonts w:ascii="宋体" w:hAnsi="宋体"/>
                <w:sz w:val="24"/>
              </w:rPr>
              <w:t>地址</w:t>
            </w:r>
          </w:p>
        </w:tc>
        <w:tc>
          <w:tcPr>
            <w:tcW w:w="3827" w:type="dxa"/>
            <w:tcBorders>
              <w:top w:val="single" w:color="auto" w:sz="4" w:space="0"/>
              <w:left w:val="nil"/>
              <w:bottom w:val="single" w:color="auto" w:sz="4" w:space="0"/>
              <w:right w:val="single" w:color="auto" w:sz="4" w:space="0"/>
            </w:tcBorders>
            <w:vAlign w:val="center"/>
          </w:tcPr>
          <w:p>
            <w:pPr>
              <w:ind w:right="-113" w:rightChars="-54"/>
              <w:jc w:val="left"/>
              <w:rPr>
                <w:rFonts w:ascii="宋体" w:hAnsi="宋体"/>
                <w:sz w:val="24"/>
              </w:rPr>
            </w:pPr>
            <w:r>
              <w:rPr>
                <w:rFonts w:hint="eastAsia" w:ascii="宋体" w:hAnsi="宋体" w:cs="Arial"/>
                <w:sz w:val="24"/>
                <w:szCs w:val="20"/>
                <w:lang w:bidi="ar"/>
              </w:rPr>
              <w:t>锦州市太和区马家里四段</w:t>
            </w:r>
            <w:r>
              <w:rPr>
                <w:rFonts w:ascii="宋体" w:hAnsi="宋体" w:cs="Arial"/>
                <w:sz w:val="24"/>
                <w:szCs w:val="20"/>
                <w:lang w:bidi="ar"/>
              </w:rPr>
              <w:t>41</w:t>
            </w:r>
            <w:r>
              <w:rPr>
                <w:rFonts w:hint="eastAsia" w:ascii="宋体" w:hAnsi="宋体" w:cs="Arial"/>
                <w:sz w:val="24"/>
                <w:szCs w:val="20"/>
                <w:lang w:bidi="ar"/>
              </w:rPr>
              <w:t>号</w:t>
            </w:r>
          </w:p>
        </w:tc>
        <w:tc>
          <w:tcPr>
            <w:tcW w:w="1276" w:type="dxa"/>
            <w:tcBorders>
              <w:top w:val="single" w:color="auto" w:sz="4" w:space="0"/>
              <w:left w:val="nil"/>
              <w:bottom w:val="single" w:color="auto" w:sz="4" w:space="0"/>
              <w:right w:val="single" w:color="auto" w:sz="4" w:space="0"/>
            </w:tcBorders>
            <w:vAlign w:val="center"/>
          </w:tcPr>
          <w:p>
            <w:pPr>
              <w:ind w:left="-113" w:leftChars="-54" w:right="-109" w:rightChars="-52"/>
              <w:jc w:val="center"/>
              <w:rPr>
                <w:rFonts w:ascii="宋体" w:hAnsi="宋体"/>
                <w:sz w:val="24"/>
              </w:rPr>
            </w:pPr>
            <w:r>
              <w:rPr>
                <w:rFonts w:hint="eastAsia" w:ascii="宋体" w:hAnsi="宋体"/>
                <w:sz w:val="24"/>
              </w:rPr>
              <w:t>营业</w:t>
            </w:r>
            <w:r>
              <w:rPr>
                <w:rFonts w:ascii="宋体" w:hAnsi="宋体"/>
                <w:sz w:val="24"/>
              </w:rPr>
              <w:t>地址</w:t>
            </w:r>
          </w:p>
        </w:tc>
        <w:tc>
          <w:tcPr>
            <w:tcW w:w="3969" w:type="dxa"/>
            <w:tcBorders>
              <w:top w:val="single" w:color="auto" w:sz="4" w:space="0"/>
              <w:left w:val="nil"/>
              <w:bottom w:val="single" w:color="auto" w:sz="4" w:space="0"/>
              <w:right w:val="single" w:color="auto" w:sz="4" w:space="0"/>
            </w:tcBorders>
            <w:vAlign w:val="center"/>
          </w:tcPr>
          <w:p>
            <w:pPr>
              <w:jc w:val="left"/>
              <w:rPr>
                <w:rFonts w:ascii="宋体" w:hAnsi="宋体"/>
                <w:sz w:val="24"/>
                <w:szCs w:val="24"/>
              </w:rPr>
            </w:pPr>
          </w:p>
        </w:tc>
      </w:tr>
      <w:tr>
        <w:tblPrEx>
          <w:tblLayout w:type="fixed"/>
          <w:tblCellMar>
            <w:top w:w="0" w:type="dxa"/>
            <w:left w:w="108" w:type="dxa"/>
            <w:bottom w:w="0" w:type="dxa"/>
            <w:right w:w="108" w:type="dxa"/>
          </w:tblCellMar>
        </w:tblPrEx>
        <w:trPr>
          <w:trHeight w:val="70" w:hRule="atLeast"/>
        </w:trPr>
        <w:tc>
          <w:tcPr>
            <w:tcW w:w="1276" w:type="dxa"/>
            <w:tcBorders>
              <w:top w:val="single" w:color="auto" w:sz="4" w:space="0"/>
              <w:left w:val="single" w:color="auto" w:sz="4" w:space="0"/>
              <w:bottom w:val="single" w:color="auto" w:sz="4" w:space="0"/>
              <w:right w:val="single" w:color="auto" w:sz="4" w:space="0"/>
            </w:tcBorders>
            <w:vAlign w:val="center"/>
          </w:tcPr>
          <w:p>
            <w:pPr>
              <w:ind w:left="-105" w:leftChars="-50" w:right="-105" w:rightChars="-50"/>
              <w:jc w:val="center"/>
              <w:rPr>
                <w:rFonts w:ascii="宋体" w:hAnsi="宋体"/>
                <w:sz w:val="24"/>
              </w:rPr>
            </w:pPr>
            <w:r>
              <w:rPr>
                <w:rFonts w:ascii="宋体" w:hAnsi="宋体"/>
                <w:sz w:val="24"/>
              </w:rPr>
              <w:t>电话和传真</w:t>
            </w:r>
          </w:p>
        </w:tc>
        <w:tc>
          <w:tcPr>
            <w:tcW w:w="3827" w:type="dxa"/>
            <w:tcBorders>
              <w:top w:val="single" w:color="auto" w:sz="4" w:space="0"/>
              <w:left w:val="nil"/>
              <w:bottom w:val="single" w:color="auto" w:sz="4" w:space="0"/>
              <w:right w:val="single" w:color="auto" w:sz="4" w:space="0"/>
            </w:tcBorders>
            <w:vAlign w:val="center"/>
          </w:tcPr>
          <w:p>
            <w:pPr>
              <w:jc w:val="left"/>
              <w:rPr>
                <w:rFonts w:ascii="宋体" w:hAnsi="宋体"/>
                <w:sz w:val="24"/>
              </w:rPr>
            </w:pPr>
            <w:r>
              <w:rPr>
                <w:rFonts w:hint="eastAsia" w:ascii="宋体" w:hAnsi="宋体"/>
                <w:sz w:val="24"/>
              </w:rPr>
              <w:t>0416-2986041</w:t>
            </w:r>
          </w:p>
        </w:tc>
        <w:tc>
          <w:tcPr>
            <w:tcW w:w="1276" w:type="dxa"/>
            <w:tcBorders>
              <w:top w:val="single" w:color="auto" w:sz="4" w:space="0"/>
              <w:left w:val="nil"/>
              <w:bottom w:val="single" w:color="auto" w:sz="4" w:space="0"/>
              <w:right w:val="single" w:color="auto" w:sz="4" w:space="0"/>
            </w:tcBorders>
            <w:vAlign w:val="center"/>
          </w:tcPr>
          <w:p>
            <w:pPr>
              <w:ind w:left="-113" w:leftChars="-54" w:right="-109" w:rightChars="-52"/>
              <w:jc w:val="center"/>
              <w:rPr>
                <w:rFonts w:ascii="宋体" w:hAnsi="宋体"/>
                <w:sz w:val="24"/>
              </w:rPr>
            </w:pPr>
            <w:r>
              <w:rPr>
                <w:rFonts w:ascii="宋体" w:hAnsi="宋体"/>
                <w:sz w:val="24"/>
              </w:rPr>
              <w:t>电话和传真</w:t>
            </w:r>
          </w:p>
        </w:tc>
        <w:tc>
          <w:tcPr>
            <w:tcW w:w="3969" w:type="dxa"/>
            <w:tcBorders>
              <w:top w:val="single" w:color="auto" w:sz="4" w:space="0"/>
              <w:left w:val="nil"/>
              <w:bottom w:val="single" w:color="auto" w:sz="4" w:space="0"/>
              <w:right w:val="single" w:color="auto" w:sz="4" w:space="0"/>
            </w:tcBorders>
            <w:vAlign w:val="center"/>
          </w:tcPr>
          <w:p>
            <w:pPr>
              <w:jc w:val="left"/>
              <w:rPr>
                <w:rFonts w:ascii="宋体" w:hAnsi="宋体"/>
                <w:sz w:val="24"/>
                <w:szCs w:val="24"/>
              </w:rPr>
            </w:pPr>
          </w:p>
        </w:tc>
      </w:tr>
      <w:tr>
        <w:tblPrEx>
          <w:tblLayout w:type="fixed"/>
          <w:tblCellMar>
            <w:top w:w="0" w:type="dxa"/>
            <w:left w:w="108" w:type="dxa"/>
            <w:bottom w:w="0" w:type="dxa"/>
            <w:right w:w="108" w:type="dxa"/>
          </w:tblCellMar>
        </w:tblPrEx>
        <w:trPr>
          <w:trHeight w:val="287" w:hRule="atLeast"/>
        </w:trPr>
        <w:tc>
          <w:tcPr>
            <w:tcW w:w="1276" w:type="dxa"/>
            <w:tcBorders>
              <w:top w:val="single" w:color="auto" w:sz="4" w:space="0"/>
              <w:left w:val="single" w:color="auto" w:sz="4" w:space="0"/>
              <w:bottom w:val="single" w:color="auto" w:sz="4" w:space="0"/>
              <w:right w:val="single" w:color="auto" w:sz="4" w:space="0"/>
            </w:tcBorders>
            <w:vAlign w:val="center"/>
          </w:tcPr>
          <w:p>
            <w:pPr>
              <w:ind w:left="-105" w:leftChars="-50" w:right="-105" w:rightChars="-50"/>
              <w:jc w:val="center"/>
              <w:rPr>
                <w:rFonts w:ascii="宋体" w:hAnsi="宋体"/>
                <w:sz w:val="24"/>
              </w:rPr>
            </w:pPr>
            <w:r>
              <w:rPr>
                <w:rFonts w:ascii="宋体" w:hAnsi="宋体"/>
                <w:sz w:val="24"/>
              </w:rPr>
              <w:t>开户银行</w:t>
            </w:r>
          </w:p>
        </w:tc>
        <w:tc>
          <w:tcPr>
            <w:tcW w:w="3827" w:type="dxa"/>
            <w:tcBorders>
              <w:top w:val="single" w:color="auto" w:sz="4" w:space="0"/>
              <w:left w:val="nil"/>
              <w:bottom w:val="single" w:color="auto" w:sz="4" w:space="0"/>
              <w:right w:val="single" w:color="auto" w:sz="4" w:space="0"/>
            </w:tcBorders>
            <w:vAlign w:val="center"/>
          </w:tcPr>
          <w:p>
            <w:pPr>
              <w:jc w:val="left"/>
              <w:rPr>
                <w:rFonts w:ascii="宋体" w:hAnsi="宋体"/>
                <w:sz w:val="24"/>
              </w:rPr>
            </w:pPr>
            <w:r>
              <w:rPr>
                <w:rFonts w:hint="eastAsia" w:ascii="宋体" w:hAnsi="宋体"/>
                <w:sz w:val="24"/>
              </w:rPr>
              <w:t>中国建设银行股份有限公司锦州凌河支行</w:t>
            </w:r>
          </w:p>
        </w:tc>
        <w:tc>
          <w:tcPr>
            <w:tcW w:w="1276" w:type="dxa"/>
            <w:tcBorders>
              <w:top w:val="single" w:color="auto" w:sz="4" w:space="0"/>
              <w:left w:val="nil"/>
              <w:bottom w:val="single" w:color="auto" w:sz="4" w:space="0"/>
              <w:right w:val="single" w:color="auto" w:sz="4" w:space="0"/>
            </w:tcBorders>
            <w:vAlign w:val="center"/>
          </w:tcPr>
          <w:p>
            <w:pPr>
              <w:ind w:left="-113" w:leftChars="-54" w:right="-109" w:rightChars="-52"/>
              <w:jc w:val="center"/>
              <w:rPr>
                <w:rFonts w:ascii="宋体" w:hAnsi="宋体"/>
                <w:sz w:val="24"/>
              </w:rPr>
            </w:pPr>
            <w:r>
              <w:rPr>
                <w:rFonts w:ascii="宋体" w:hAnsi="宋体"/>
                <w:sz w:val="24"/>
              </w:rPr>
              <w:t>开户银行</w:t>
            </w:r>
          </w:p>
        </w:tc>
        <w:tc>
          <w:tcPr>
            <w:tcW w:w="3969" w:type="dxa"/>
            <w:tcBorders>
              <w:top w:val="single" w:color="auto" w:sz="4" w:space="0"/>
              <w:left w:val="nil"/>
              <w:bottom w:val="single" w:color="auto" w:sz="4" w:space="0"/>
              <w:right w:val="single" w:color="auto" w:sz="4" w:space="0"/>
            </w:tcBorders>
            <w:vAlign w:val="center"/>
          </w:tcPr>
          <w:p>
            <w:pPr>
              <w:ind w:left="240" w:hanging="240" w:hangingChars="100"/>
              <w:jc w:val="left"/>
              <w:rPr>
                <w:rFonts w:ascii="宋体" w:hAnsi="宋体"/>
                <w:sz w:val="24"/>
                <w:szCs w:val="24"/>
              </w:rPr>
            </w:pPr>
          </w:p>
        </w:tc>
      </w:tr>
      <w:tr>
        <w:tblPrEx>
          <w:tblLayout w:type="fixed"/>
          <w:tblCellMar>
            <w:top w:w="0" w:type="dxa"/>
            <w:left w:w="108" w:type="dxa"/>
            <w:bottom w:w="0" w:type="dxa"/>
            <w:right w:w="108" w:type="dxa"/>
          </w:tblCellMar>
        </w:tblPrEx>
        <w:trPr>
          <w:trHeight w:val="70" w:hRule="atLeast"/>
        </w:trPr>
        <w:tc>
          <w:tcPr>
            <w:tcW w:w="1276" w:type="dxa"/>
            <w:tcBorders>
              <w:top w:val="single" w:color="auto" w:sz="4" w:space="0"/>
              <w:left w:val="single" w:color="auto" w:sz="4" w:space="0"/>
              <w:bottom w:val="single" w:color="auto" w:sz="4" w:space="0"/>
              <w:right w:val="single" w:color="auto" w:sz="4" w:space="0"/>
            </w:tcBorders>
            <w:vAlign w:val="center"/>
          </w:tcPr>
          <w:p>
            <w:pPr>
              <w:ind w:left="-105" w:leftChars="-50" w:right="-105" w:rightChars="-50"/>
              <w:jc w:val="center"/>
              <w:rPr>
                <w:rFonts w:ascii="宋体" w:hAnsi="宋体"/>
                <w:sz w:val="24"/>
              </w:rPr>
            </w:pPr>
            <w:r>
              <w:rPr>
                <w:rFonts w:ascii="宋体" w:hAnsi="宋体"/>
                <w:sz w:val="24"/>
              </w:rPr>
              <w:t>账号</w:t>
            </w:r>
          </w:p>
        </w:tc>
        <w:tc>
          <w:tcPr>
            <w:tcW w:w="3827" w:type="dxa"/>
            <w:tcBorders>
              <w:top w:val="single" w:color="auto" w:sz="4" w:space="0"/>
              <w:left w:val="nil"/>
              <w:bottom w:val="single" w:color="auto" w:sz="4" w:space="0"/>
              <w:right w:val="single" w:color="auto" w:sz="4" w:space="0"/>
            </w:tcBorders>
            <w:vAlign w:val="center"/>
          </w:tcPr>
          <w:p>
            <w:pPr>
              <w:jc w:val="left"/>
              <w:rPr>
                <w:rFonts w:ascii="宋体" w:hAnsi="宋体"/>
                <w:sz w:val="24"/>
              </w:rPr>
            </w:pPr>
            <w:r>
              <w:rPr>
                <w:rFonts w:hint="eastAsia" w:ascii="宋体" w:hAnsi="宋体"/>
                <w:sz w:val="24"/>
              </w:rPr>
              <w:t>21050167080100000630</w:t>
            </w:r>
          </w:p>
        </w:tc>
        <w:tc>
          <w:tcPr>
            <w:tcW w:w="1276" w:type="dxa"/>
            <w:tcBorders>
              <w:top w:val="single" w:color="auto" w:sz="4" w:space="0"/>
              <w:left w:val="nil"/>
              <w:bottom w:val="single" w:color="auto" w:sz="4" w:space="0"/>
              <w:right w:val="single" w:color="auto" w:sz="4" w:space="0"/>
            </w:tcBorders>
            <w:vAlign w:val="center"/>
          </w:tcPr>
          <w:p>
            <w:pPr>
              <w:ind w:left="-113" w:leftChars="-54" w:right="-109" w:rightChars="-52"/>
              <w:jc w:val="center"/>
              <w:rPr>
                <w:rFonts w:ascii="宋体" w:hAnsi="宋体"/>
                <w:sz w:val="24"/>
              </w:rPr>
            </w:pPr>
            <w:r>
              <w:rPr>
                <w:rFonts w:ascii="宋体" w:hAnsi="宋体"/>
                <w:sz w:val="24"/>
              </w:rPr>
              <w:t>账号</w:t>
            </w:r>
          </w:p>
        </w:tc>
        <w:tc>
          <w:tcPr>
            <w:tcW w:w="3969" w:type="dxa"/>
            <w:tcBorders>
              <w:top w:val="single" w:color="auto" w:sz="4" w:space="0"/>
              <w:left w:val="nil"/>
              <w:bottom w:val="single" w:color="auto" w:sz="4" w:space="0"/>
              <w:right w:val="single" w:color="auto" w:sz="4" w:space="0"/>
            </w:tcBorders>
            <w:vAlign w:val="center"/>
          </w:tcPr>
          <w:p>
            <w:pPr>
              <w:jc w:val="left"/>
              <w:rPr>
                <w:rFonts w:ascii="宋体" w:hAnsi="宋体"/>
                <w:sz w:val="24"/>
                <w:szCs w:val="24"/>
              </w:rPr>
            </w:pPr>
          </w:p>
        </w:tc>
      </w:tr>
      <w:tr>
        <w:tblPrEx>
          <w:tblLayout w:type="fixed"/>
          <w:tblCellMar>
            <w:top w:w="0" w:type="dxa"/>
            <w:left w:w="108" w:type="dxa"/>
            <w:bottom w:w="0" w:type="dxa"/>
            <w:right w:w="108" w:type="dxa"/>
          </w:tblCellMar>
        </w:tblPrEx>
        <w:trPr>
          <w:trHeight w:val="70" w:hRule="atLeast"/>
        </w:trPr>
        <w:tc>
          <w:tcPr>
            <w:tcW w:w="1276" w:type="dxa"/>
            <w:tcBorders>
              <w:top w:val="single" w:color="auto" w:sz="4" w:space="0"/>
              <w:left w:val="single" w:color="auto" w:sz="4" w:space="0"/>
              <w:bottom w:val="single" w:color="auto" w:sz="4" w:space="0"/>
              <w:right w:val="single" w:color="auto" w:sz="4" w:space="0"/>
            </w:tcBorders>
            <w:vAlign w:val="center"/>
          </w:tcPr>
          <w:p>
            <w:pPr>
              <w:ind w:left="-105" w:leftChars="-50" w:right="-105" w:rightChars="-50"/>
              <w:jc w:val="center"/>
              <w:rPr>
                <w:rFonts w:ascii="宋体" w:hAnsi="宋体"/>
                <w:sz w:val="24"/>
              </w:rPr>
            </w:pPr>
            <w:r>
              <w:rPr>
                <w:rFonts w:hint="eastAsia" w:ascii="宋体" w:hAnsi="宋体"/>
                <w:sz w:val="24"/>
              </w:rPr>
              <w:t>税号</w:t>
            </w:r>
          </w:p>
        </w:tc>
        <w:tc>
          <w:tcPr>
            <w:tcW w:w="3827" w:type="dxa"/>
            <w:tcBorders>
              <w:top w:val="single" w:color="auto" w:sz="4" w:space="0"/>
              <w:left w:val="nil"/>
              <w:bottom w:val="single" w:color="auto" w:sz="4" w:space="0"/>
              <w:right w:val="single" w:color="auto" w:sz="4" w:space="0"/>
            </w:tcBorders>
            <w:vAlign w:val="center"/>
          </w:tcPr>
          <w:p>
            <w:pPr>
              <w:jc w:val="left"/>
              <w:rPr>
                <w:rFonts w:ascii="宋体" w:hAnsi="宋体"/>
                <w:sz w:val="24"/>
              </w:rPr>
            </w:pPr>
            <w:r>
              <w:rPr>
                <w:rFonts w:hint="eastAsia" w:ascii="宋体" w:hAnsi="宋体"/>
                <w:sz w:val="24"/>
              </w:rPr>
              <w:t>91210711MACJJLXL94</w:t>
            </w:r>
          </w:p>
        </w:tc>
        <w:tc>
          <w:tcPr>
            <w:tcW w:w="1276" w:type="dxa"/>
            <w:tcBorders>
              <w:top w:val="single" w:color="auto" w:sz="4" w:space="0"/>
              <w:left w:val="nil"/>
              <w:bottom w:val="single" w:color="auto" w:sz="4" w:space="0"/>
              <w:right w:val="single" w:color="auto" w:sz="4" w:space="0"/>
            </w:tcBorders>
            <w:vAlign w:val="center"/>
          </w:tcPr>
          <w:p>
            <w:pPr>
              <w:ind w:left="-113" w:leftChars="-54" w:right="-109" w:rightChars="-52"/>
              <w:jc w:val="center"/>
              <w:rPr>
                <w:rFonts w:ascii="宋体" w:hAnsi="宋体"/>
                <w:sz w:val="24"/>
              </w:rPr>
            </w:pPr>
            <w:r>
              <w:rPr>
                <w:rFonts w:hint="eastAsia" w:ascii="宋体" w:hAnsi="宋体"/>
                <w:sz w:val="24"/>
              </w:rPr>
              <w:t>税号</w:t>
            </w:r>
          </w:p>
        </w:tc>
        <w:tc>
          <w:tcPr>
            <w:tcW w:w="3969" w:type="dxa"/>
            <w:tcBorders>
              <w:top w:val="single" w:color="auto" w:sz="4" w:space="0"/>
              <w:left w:val="nil"/>
              <w:bottom w:val="single" w:color="auto" w:sz="4" w:space="0"/>
              <w:right w:val="single" w:color="auto" w:sz="4" w:space="0"/>
            </w:tcBorders>
            <w:vAlign w:val="center"/>
          </w:tcPr>
          <w:p>
            <w:pPr>
              <w:jc w:val="left"/>
              <w:rPr>
                <w:rFonts w:ascii="宋体" w:hAnsi="宋体"/>
                <w:sz w:val="24"/>
                <w:szCs w:val="24"/>
              </w:rPr>
            </w:pPr>
          </w:p>
        </w:tc>
      </w:tr>
    </w:tbl>
    <w:p>
      <w:pPr>
        <w:widowControl/>
        <w:jc w:val="left"/>
        <w:rPr>
          <w:rFonts w:ascii="宋体" w:hAnsi="宋体"/>
        </w:rPr>
      </w:pPr>
      <w:r>
        <w:rPr>
          <w:rFonts w:ascii="宋体" w:hAnsi="宋体"/>
        </w:rPr>
        <w:br w:type="page"/>
      </w:r>
    </w:p>
    <w:p>
      <w:pPr>
        <w:spacing w:before="120"/>
        <w:outlineLvl w:val="0"/>
        <w:rPr>
          <w:rFonts w:ascii="宋体" w:hAnsi="宋体"/>
          <w:b/>
          <w:bCs/>
          <w:sz w:val="32"/>
          <w:szCs w:val="32"/>
        </w:rPr>
      </w:pPr>
      <w:r>
        <w:rPr>
          <w:rFonts w:hint="eastAsia" w:ascii="宋体" w:hAnsi="宋体"/>
          <w:b/>
          <w:bCs/>
          <w:sz w:val="32"/>
          <w:szCs w:val="32"/>
        </w:rPr>
        <w:t xml:space="preserve">附件一 </w:t>
      </w:r>
      <w:r>
        <w:rPr>
          <w:rFonts w:ascii="宋体" w:hAnsi="宋体"/>
          <w:b/>
          <w:bCs/>
          <w:sz w:val="32"/>
          <w:szCs w:val="32"/>
        </w:rPr>
        <w:t xml:space="preserve">                    </w:t>
      </w:r>
    </w:p>
    <w:p>
      <w:pPr>
        <w:jc w:val="center"/>
        <w:outlineLvl w:val="0"/>
        <w:rPr>
          <w:rFonts w:ascii="宋体" w:hAnsi="宋体"/>
          <w:b/>
          <w:bCs/>
          <w:sz w:val="40"/>
          <w:szCs w:val="40"/>
        </w:rPr>
      </w:pPr>
      <w:r>
        <w:rPr>
          <w:rFonts w:hint="eastAsia" w:ascii="宋体" w:hAnsi="宋体"/>
          <w:b/>
          <w:bCs/>
          <w:sz w:val="40"/>
          <w:szCs w:val="40"/>
        </w:rPr>
        <w:t>船舶信息</w:t>
      </w:r>
    </w:p>
    <w:p>
      <w:pPr>
        <w:tabs>
          <w:tab w:val="left" w:pos="1276"/>
        </w:tabs>
        <w:spacing w:line="300" w:lineRule="exact"/>
        <w:outlineLvl w:val="0"/>
        <w:rPr>
          <w:rFonts w:ascii="宋体" w:hAnsi="宋体"/>
          <w:sz w:val="24"/>
          <w:szCs w:val="24"/>
        </w:rPr>
      </w:pPr>
    </w:p>
    <w:tbl>
      <w:tblPr>
        <w:tblStyle w:val="15"/>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3688"/>
        <w:gridCol w:w="2016"/>
        <w:gridCol w:w="1134"/>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8" w:type="dxa"/>
          </w:tcPr>
          <w:p>
            <w:pPr>
              <w:tabs>
                <w:tab w:val="left" w:pos="1276"/>
              </w:tabs>
              <w:outlineLvl w:val="0"/>
              <w:rPr>
                <w:rFonts w:ascii="宋体" w:hAnsi="宋体"/>
                <w:sz w:val="28"/>
                <w:szCs w:val="28"/>
              </w:rPr>
            </w:pPr>
            <w:r>
              <w:rPr>
                <w:rFonts w:hint="eastAsia" w:ascii="宋体" w:hAnsi="宋体"/>
                <w:kern w:val="0"/>
                <w:sz w:val="28"/>
                <w:szCs w:val="28"/>
              </w:rPr>
              <w:t>合同编号</w:t>
            </w:r>
          </w:p>
        </w:tc>
        <w:tc>
          <w:tcPr>
            <w:tcW w:w="5704" w:type="dxa"/>
            <w:gridSpan w:val="2"/>
          </w:tcPr>
          <w:p>
            <w:pPr>
              <w:tabs>
                <w:tab w:val="left" w:pos="1276"/>
              </w:tabs>
              <w:outlineLvl w:val="0"/>
              <w:rPr>
                <w:rFonts w:ascii="宋体" w:hAnsi="宋体"/>
                <w:sz w:val="28"/>
                <w:szCs w:val="28"/>
              </w:rPr>
            </w:pPr>
          </w:p>
        </w:tc>
        <w:tc>
          <w:tcPr>
            <w:tcW w:w="1134" w:type="dxa"/>
          </w:tcPr>
          <w:p>
            <w:pPr>
              <w:tabs>
                <w:tab w:val="left" w:pos="1276"/>
              </w:tabs>
              <w:outlineLvl w:val="0"/>
              <w:rPr>
                <w:rFonts w:ascii="宋体" w:hAnsi="宋体"/>
                <w:sz w:val="28"/>
                <w:szCs w:val="28"/>
              </w:rPr>
            </w:pPr>
            <w:r>
              <w:rPr>
                <w:rFonts w:hint="eastAsia" w:ascii="宋体" w:hAnsi="宋体"/>
                <w:kern w:val="0"/>
                <w:sz w:val="28"/>
                <w:szCs w:val="28"/>
              </w:rPr>
              <w:t>发热量</w:t>
            </w:r>
          </w:p>
        </w:tc>
        <w:tc>
          <w:tcPr>
            <w:tcW w:w="1559" w:type="dxa"/>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8" w:type="dxa"/>
          </w:tcPr>
          <w:p>
            <w:pPr>
              <w:tabs>
                <w:tab w:val="left" w:pos="1276"/>
              </w:tabs>
              <w:outlineLvl w:val="0"/>
              <w:rPr>
                <w:rFonts w:ascii="宋体" w:hAnsi="宋体"/>
                <w:sz w:val="28"/>
                <w:szCs w:val="28"/>
              </w:rPr>
            </w:pPr>
            <w:r>
              <w:rPr>
                <w:rFonts w:hint="eastAsia" w:ascii="宋体" w:hAnsi="宋体"/>
                <w:kern w:val="0"/>
                <w:sz w:val="28"/>
                <w:szCs w:val="28"/>
              </w:rPr>
              <w:t>船 名</w:t>
            </w:r>
          </w:p>
        </w:tc>
        <w:tc>
          <w:tcPr>
            <w:tcW w:w="5704" w:type="dxa"/>
            <w:gridSpan w:val="2"/>
          </w:tcPr>
          <w:p>
            <w:pPr>
              <w:tabs>
                <w:tab w:val="left" w:pos="1276"/>
              </w:tabs>
              <w:outlineLvl w:val="0"/>
              <w:rPr>
                <w:rFonts w:ascii="宋体" w:hAnsi="宋体"/>
                <w:sz w:val="28"/>
                <w:szCs w:val="28"/>
              </w:rPr>
            </w:pPr>
          </w:p>
        </w:tc>
        <w:tc>
          <w:tcPr>
            <w:tcW w:w="1134" w:type="dxa"/>
          </w:tcPr>
          <w:p>
            <w:pPr>
              <w:tabs>
                <w:tab w:val="left" w:pos="1276"/>
              </w:tabs>
              <w:outlineLvl w:val="0"/>
              <w:rPr>
                <w:rFonts w:ascii="宋体" w:hAnsi="宋体"/>
                <w:sz w:val="28"/>
                <w:szCs w:val="28"/>
              </w:rPr>
            </w:pPr>
            <w:r>
              <w:rPr>
                <w:rFonts w:hint="eastAsia" w:ascii="宋体" w:hAnsi="宋体"/>
                <w:kern w:val="0"/>
                <w:sz w:val="28"/>
                <w:szCs w:val="28"/>
              </w:rPr>
              <w:t>航 次</w:t>
            </w:r>
          </w:p>
        </w:tc>
        <w:tc>
          <w:tcPr>
            <w:tcW w:w="1559" w:type="dxa"/>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8" w:type="dxa"/>
          </w:tcPr>
          <w:p>
            <w:pPr>
              <w:tabs>
                <w:tab w:val="left" w:pos="1276"/>
              </w:tabs>
              <w:outlineLvl w:val="0"/>
              <w:rPr>
                <w:rFonts w:ascii="宋体" w:hAnsi="宋体"/>
                <w:sz w:val="28"/>
                <w:szCs w:val="28"/>
              </w:rPr>
            </w:pPr>
            <w:r>
              <w:rPr>
                <w:rFonts w:hint="eastAsia" w:ascii="宋体" w:hAnsi="宋体"/>
                <w:kern w:val="0"/>
                <w:sz w:val="28"/>
                <w:szCs w:val="28"/>
              </w:rPr>
              <w:t>载 重 吨</w:t>
            </w:r>
          </w:p>
        </w:tc>
        <w:tc>
          <w:tcPr>
            <w:tcW w:w="3688" w:type="dxa"/>
          </w:tcPr>
          <w:p>
            <w:pPr>
              <w:tabs>
                <w:tab w:val="left" w:pos="1276"/>
              </w:tabs>
              <w:outlineLvl w:val="0"/>
              <w:rPr>
                <w:rFonts w:ascii="宋体" w:hAnsi="宋体"/>
                <w:sz w:val="28"/>
                <w:szCs w:val="28"/>
              </w:rPr>
            </w:pPr>
          </w:p>
        </w:tc>
        <w:tc>
          <w:tcPr>
            <w:tcW w:w="2016" w:type="dxa"/>
          </w:tcPr>
          <w:p>
            <w:pPr>
              <w:tabs>
                <w:tab w:val="left" w:pos="1276"/>
              </w:tabs>
              <w:outlineLvl w:val="0"/>
              <w:rPr>
                <w:rFonts w:ascii="宋体" w:hAnsi="宋体"/>
                <w:sz w:val="28"/>
                <w:szCs w:val="28"/>
              </w:rPr>
            </w:pPr>
            <w:r>
              <w:rPr>
                <w:rFonts w:hint="eastAsia" w:ascii="宋体" w:hAnsi="宋体"/>
                <w:kern w:val="0"/>
                <w:sz w:val="28"/>
                <w:szCs w:val="28"/>
              </w:rPr>
              <w:t>计划载货量</w:t>
            </w:r>
          </w:p>
        </w:tc>
        <w:tc>
          <w:tcPr>
            <w:tcW w:w="2693" w:type="dxa"/>
            <w:gridSpan w:val="2"/>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8" w:type="dxa"/>
          </w:tcPr>
          <w:p>
            <w:pPr>
              <w:tabs>
                <w:tab w:val="left" w:pos="1276"/>
              </w:tabs>
              <w:outlineLvl w:val="0"/>
              <w:rPr>
                <w:rFonts w:ascii="宋体" w:hAnsi="宋体"/>
                <w:sz w:val="28"/>
                <w:szCs w:val="28"/>
              </w:rPr>
            </w:pPr>
            <w:r>
              <w:rPr>
                <w:rFonts w:hint="eastAsia" w:ascii="宋体" w:hAnsi="宋体"/>
                <w:kern w:val="0"/>
                <w:sz w:val="28"/>
                <w:szCs w:val="28"/>
              </w:rPr>
              <w:t>船 规</w:t>
            </w:r>
          </w:p>
        </w:tc>
        <w:tc>
          <w:tcPr>
            <w:tcW w:w="8397" w:type="dxa"/>
            <w:gridSpan w:val="4"/>
          </w:tcPr>
          <w:p>
            <w:pPr>
              <w:tabs>
                <w:tab w:val="left" w:pos="1276"/>
              </w:tabs>
              <w:outlineLvl w:val="0"/>
              <w:rPr>
                <w:rFonts w:ascii="宋体" w:hAnsi="宋体"/>
                <w:sz w:val="28"/>
                <w:szCs w:val="28"/>
              </w:rPr>
            </w:pPr>
            <w:r>
              <w:rPr>
                <w:rFonts w:ascii="宋体" w:hAnsi="宋体"/>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8" w:type="dxa"/>
          </w:tcPr>
          <w:p>
            <w:pPr>
              <w:tabs>
                <w:tab w:val="left" w:pos="1276"/>
              </w:tabs>
              <w:outlineLvl w:val="0"/>
              <w:rPr>
                <w:rFonts w:ascii="宋体" w:hAnsi="宋体"/>
                <w:sz w:val="28"/>
                <w:szCs w:val="28"/>
              </w:rPr>
            </w:pPr>
            <w:r>
              <w:rPr>
                <w:rFonts w:hint="eastAsia" w:ascii="宋体" w:hAnsi="宋体"/>
                <w:kern w:val="0"/>
                <w:sz w:val="28"/>
                <w:szCs w:val="28"/>
              </w:rPr>
              <w:t>装 货 港</w:t>
            </w:r>
          </w:p>
        </w:tc>
        <w:tc>
          <w:tcPr>
            <w:tcW w:w="3688" w:type="dxa"/>
          </w:tcPr>
          <w:p>
            <w:pPr>
              <w:tabs>
                <w:tab w:val="left" w:pos="1276"/>
              </w:tabs>
              <w:outlineLvl w:val="0"/>
              <w:rPr>
                <w:rFonts w:ascii="宋体" w:hAnsi="宋体"/>
                <w:sz w:val="28"/>
                <w:szCs w:val="28"/>
              </w:rPr>
            </w:pPr>
          </w:p>
        </w:tc>
        <w:tc>
          <w:tcPr>
            <w:tcW w:w="2016" w:type="dxa"/>
          </w:tcPr>
          <w:p>
            <w:pPr>
              <w:tabs>
                <w:tab w:val="left" w:pos="1276"/>
              </w:tabs>
              <w:outlineLvl w:val="0"/>
              <w:rPr>
                <w:rFonts w:ascii="宋体" w:hAnsi="宋体"/>
                <w:sz w:val="28"/>
                <w:szCs w:val="28"/>
              </w:rPr>
            </w:pPr>
            <w:r>
              <w:rPr>
                <w:rFonts w:hint="eastAsia" w:ascii="宋体" w:hAnsi="宋体"/>
                <w:kern w:val="0"/>
                <w:sz w:val="28"/>
                <w:szCs w:val="28"/>
              </w:rPr>
              <w:t>抵装港日期</w:t>
            </w:r>
          </w:p>
        </w:tc>
        <w:tc>
          <w:tcPr>
            <w:tcW w:w="2693" w:type="dxa"/>
            <w:gridSpan w:val="2"/>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8" w:type="dxa"/>
          </w:tcPr>
          <w:p>
            <w:pPr>
              <w:tabs>
                <w:tab w:val="left" w:pos="1276"/>
              </w:tabs>
              <w:outlineLvl w:val="0"/>
              <w:rPr>
                <w:rFonts w:ascii="宋体" w:hAnsi="宋体"/>
                <w:sz w:val="28"/>
                <w:szCs w:val="28"/>
              </w:rPr>
            </w:pPr>
            <w:r>
              <w:rPr>
                <w:rFonts w:hint="eastAsia" w:ascii="宋体" w:hAnsi="宋体"/>
                <w:kern w:val="0"/>
                <w:sz w:val="28"/>
                <w:szCs w:val="28"/>
              </w:rPr>
              <w:t>卸 货 港</w:t>
            </w:r>
          </w:p>
        </w:tc>
        <w:tc>
          <w:tcPr>
            <w:tcW w:w="3688" w:type="dxa"/>
          </w:tcPr>
          <w:p>
            <w:pPr>
              <w:tabs>
                <w:tab w:val="left" w:pos="1276"/>
              </w:tabs>
              <w:outlineLvl w:val="0"/>
              <w:rPr>
                <w:rFonts w:ascii="宋体" w:hAnsi="宋体"/>
                <w:sz w:val="28"/>
                <w:szCs w:val="28"/>
              </w:rPr>
            </w:pPr>
            <w:r>
              <w:rPr>
                <w:rFonts w:hint="eastAsia" w:ascii="宋体" w:hAnsi="宋体"/>
                <w:sz w:val="28"/>
                <w:szCs w:val="28"/>
              </w:rPr>
              <w:t>锦州港</w:t>
            </w:r>
          </w:p>
        </w:tc>
        <w:tc>
          <w:tcPr>
            <w:tcW w:w="2016" w:type="dxa"/>
          </w:tcPr>
          <w:p>
            <w:pPr>
              <w:tabs>
                <w:tab w:val="left" w:pos="1276"/>
              </w:tabs>
              <w:outlineLvl w:val="0"/>
              <w:rPr>
                <w:rFonts w:ascii="宋体" w:hAnsi="宋体"/>
                <w:sz w:val="28"/>
                <w:szCs w:val="28"/>
              </w:rPr>
            </w:pPr>
            <w:r>
              <w:rPr>
                <w:rFonts w:hint="eastAsia" w:ascii="宋体" w:hAnsi="宋体"/>
                <w:kern w:val="0"/>
                <w:sz w:val="28"/>
                <w:szCs w:val="28"/>
              </w:rPr>
              <w:t>预抵卸港日期</w:t>
            </w:r>
          </w:p>
        </w:tc>
        <w:tc>
          <w:tcPr>
            <w:tcW w:w="2693" w:type="dxa"/>
            <w:gridSpan w:val="2"/>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8" w:type="dxa"/>
            <w:vAlign w:val="center"/>
          </w:tcPr>
          <w:p>
            <w:pPr>
              <w:tabs>
                <w:tab w:val="left" w:pos="1276"/>
              </w:tabs>
              <w:outlineLvl w:val="0"/>
              <w:rPr>
                <w:rFonts w:ascii="宋体" w:hAnsi="宋体"/>
                <w:sz w:val="28"/>
                <w:szCs w:val="28"/>
              </w:rPr>
            </w:pPr>
            <w:r>
              <w:rPr>
                <w:rFonts w:hint="eastAsia" w:ascii="宋体" w:hAnsi="宋体"/>
                <w:kern w:val="0"/>
                <w:sz w:val="28"/>
                <w:szCs w:val="28"/>
              </w:rPr>
              <w:t>滞期/速遣费率</w:t>
            </w:r>
          </w:p>
        </w:tc>
        <w:tc>
          <w:tcPr>
            <w:tcW w:w="8397" w:type="dxa"/>
            <w:gridSpan w:val="4"/>
            <w:vAlign w:val="center"/>
          </w:tcPr>
          <w:p>
            <w:pPr>
              <w:tabs>
                <w:tab w:val="left" w:pos="1276"/>
              </w:tabs>
              <w:outlineLvl w:val="0"/>
              <w:rPr>
                <w:rFonts w:ascii="宋体" w:hAnsi="宋体"/>
                <w:sz w:val="28"/>
                <w:szCs w:val="28"/>
              </w:rPr>
            </w:pPr>
          </w:p>
        </w:tc>
      </w:tr>
    </w:tbl>
    <w:p>
      <w:pPr>
        <w:tabs>
          <w:tab w:val="left" w:pos="1276"/>
        </w:tabs>
        <w:outlineLvl w:val="0"/>
        <w:rPr>
          <w:rFonts w:ascii="宋体" w:hAnsi="宋体"/>
          <w:sz w:val="28"/>
          <w:szCs w:val="28"/>
        </w:rPr>
      </w:pPr>
      <w:r>
        <w:rPr>
          <w:rFonts w:hint="eastAsia" w:ascii="宋体" w:hAnsi="宋体"/>
          <w:sz w:val="28"/>
          <w:szCs w:val="28"/>
        </w:rPr>
        <w:t>注：</w:t>
      </w:r>
    </w:p>
    <w:p>
      <w:pPr>
        <w:pStyle w:val="20"/>
        <w:numPr>
          <w:ilvl w:val="1"/>
          <w:numId w:val="3"/>
        </w:numPr>
        <w:tabs>
          <w:tab w:val="left" w:pos="284"/>
        </w:tabs>
        <w:ind w:hanging="1265" w:firstLineChars="0"/>
        <w:outlineLvl w:val="0"/>
        <w:rPr>
          <w:rFonts w:ascii="宋体" w:hAnsi="宋体"/>
          <w:sz w:val="24"/>
          <w:szCs w:val="24"/>
        </w:rPr>
      </w:pPr>
      <w:r>
        <w:rPr>
          <w:rFonts w:hint="eastAsia" w:ascii="宋体" w:hAnsi="宋体"/>
          <w:sz w:val="24"/>
          <w:szCs w:val="24"/>
        </w:rPr>
        <w:t>本表应在确定船舶信息后，卖方手写或填写打印后，盖章提供给买方。</w:t>
      </w:r>
    </w:p>
    <w:p>
      <w:pPr>
        <w:pStyle w:val="20"/>
        <w:numPr>
          <w:ilvl w:val="1"/>
          <w:numId w:val="3"/>
        </w:numPr>
        <w:tabs>
          <w:tab w:val="left" w:pos="284"/>
        </w:tabs>
        <w:ind w:hanging="1265" w:firstLineChars="0"/>
        <w:outlineLvl w:val="0"/>
        <w:rPr>
          <w:rFonts w:ascii="宋体" w:hAnsi="宋体"/>
          <w:sz w:val="24"/>
          <w:szCs w:val="24"/>
        </w:rPr>
      </w:pPr>
      <w:r>
        <w:rPr>
          <w:rFonts w:hint="eastAsia" w:ascii="宋体" w:hAnsi="宋体"/>
          <w:sz w:val="24"/>
          <w:szCs w:val="24"/>
        </w:rPr>
        <w:t>以上船舶的动态应按照合同第</w:t>
      </w:r>
      <w:r>
        <w:rPr>
          <w:rFonts w:ascii="宋体" w:hAnsi="宋体"/>
          <w:sz w:val="24"/>
          <w:szCs w:val="24"/>
          <w:u w:val="single"/>
        </w:rPr>
        <w:t>10.4</w:t>
      </w:r>
      <w:r>
        <w:rPr>
          <w:rFonts w:hint="eastAsia" w:ascii="宋体" w:hAnsi="宋体"/>
          <w:sz w:val="24"/>
          <w:szCs w:val="24"/>
        </w:rPr>
        <w:t>条规定及时通知给买方。</w:t>
      </w:r>
    </w:p>
    <w:p>
      <w:pPr>
        <w:pStyle w:val="20"/>
        <w:numPr>
          <w:ilvl w:val="1"/>
          <w:numId w:val="3"/>
        </w:numPr>
        <w:tabs>
          <w:tab w:val="left" w:pos="284"/>
        </w:tabs>
        <w:ind w:hanging="1265" w:firstLineChars="0"/>
        <w:outlineLvl w:val="0"/>
        <w:rPr>
          <w:rFonts w:ascii="宋体" w:hAnsi="宋体"/>
          <w:sz w:val="24"/>
          <w:szCs w:val="24"/>
        </w:rPr>
      </w:pPr>
      <w:r>
        <w:rPr>
          <w:rFonts w:hint="eastAsia" w:ascii="宋体" w:hAnsi="宋体"/>
          <w:sz w:val="24"/>
          <w:szCs w:val="24"/>
        </w:rPr>
        <w:t>如船舶信息发生变更，卖方应及时向买方重新提供本表。</w:t>
      </w:r>
    </w:p>
    <w:p>
      <w:pPr>
        <w:pStyle w:val="20"/>
        <w:numPr>
          <w:ilvl w:val="1"/>
          <w:numId w:val="3"/>
        </w:numPr>
        <w:tabs>
          <w:tab w:val="left" w:pos="284"/>
        </w:tabs>
        <w:ind w:hanging="1265" w:firstLineChars="0"/>
        <w:outlineLvl w:val="0"/>
        <w:rPr>
          <w:rFonts w:ascii="宋体" w:hAnsi="宋体"/>
          <w:sz w:val="24"/>
          <w:szCs w:val="24"/>
        </w:rPr>
      </w:pPr>
      <w:r>
        <w:rPr>
          <w:rFonts w:hint="eastAsia" w:ascii="宋体" w:hAnsi="宋体"/>
          <w:sz w:val="24"/>
          <w:szCs w:val="24"/>
        </w:rPr>
        <w:t>滞期/速遣费率按照合同第</w:t>
      </w:r>
      <w:r>
        <w:rPr>
          <w:rFonts w:hint="eastAsia" w:ascii="宋体" w:hAnsi="宋体"/>
          <w:sz w:val="24"/>
          <w:szCs w:val="24"/>
          <w:u w:val="single"/>
        </w:rPr>
        <w:t>1</w:t>
      </w:r>
      <w:r>
        <w:rPr>
          <w:rFonts w:ascii="宋体" w:hAnsi="宋体"/>
          <w:sz w:val="24"/>
          <w:szCs w:val="24"/>
          <w:u w:val="single"/>
        </w:rPr>
        <w:t>0.5.2</w:t>
      </w:r>
      <w:r>
        <w:rPr>
          <w:rFonts w:hint="eastAsia" w:ascii="宋体" w:hAnsi="宋体"/>
          <w:sz w:val="24"/>
          <w:szCs w:val="24"/>
        </w:rPr>
        <w:t>条规定。</w:t>
      </w:r>
    </w:p>
    <w:p>
      <w:pPr>
        <w:pStyle w:val="20"/>
        <w:numPr>
          <w:ilvl w:val="1"/>
          <w:numId w:val="3"/>
        </w:numPr>
        <w:tabs>
          <w:tab w:val="left" w:pos="284"/>
        </w:tabs>
        <w:ind w:hanging="1265" w:firstLineChars="0"/>
        <w:outlineLvl w:val="0"/>
        <w:rPr>
          <w:rFonts w:ascii="宋体" w:hAnsi="宋体"/>
          <w:sz w:val="24"/>
          <w:szCs w:val="24"/>
        </w:rPr>
      </w:pPr>
      <w:r>
        <w:rPr>
          <w:rFonts w:hint="eastAsia" w:ascii="宋体" w:hAnsi="宋体"/>
          <w:sz w:val="24"/>
          <w:szCs w:val="24"/>
        </w:rPr>
        <w:t>本附件是合同条款的组成部分。</w:t>
      </w:r>
    </w:p>
    <w:p>
      <w:pPr>
        <w:pStyle w:val="20"/>
        <w:numPr>
          <w:ilvl w:val="1"/>
          <w:numId w:val="3"/>
        </w:numPr>
        <w:tabs>
          <w:tab w:val="left" w:pos="284"/>
        </w:tabs>
        <w:ind w:left="284" w:hanging="284" w:firstLineChars="0"/>
        <w:outlineLvl w:val="0"/>
        <w:rPr>
          <w:rFonts w:ascii="宋体" w:hAnsi="宋体"/>
          <w:sz w:val="24"/>
          <w:szCs w:val="24"/>
        </w:rPr>
      </w:pPr>
      <w:r>
        <w:rPr>
          <w:rFonts w:hint="eastAsia" w:ascii="宋体" w:hAnsi="宋体"/>
          <w:sz w:val="24"/>
          <w:szCs w:val="24"/>
        </w:rPr>
        <w:t>本附件以传真、复印件、扫描文档、邮寄正本等形式发送至买方指定收件地址均视为有效。</w:t>
      </w:r>
    </w:p>
    <w:p>
      <w:pPr>
        <w:tabs>
          <w:tab w:val="left" w:pos="6975"/>
        </w:tabs>
        <w:rPr>
          <w:rFonts w:ascii="宋体" w:hAnsi="宋体"/>
          <w:sz w:val="24"/>
          <w:szCs w:val="24"/>
        </w:rPr>
      </w:pPr>
      <w:r>
        <w:rPr>
          <w:rFonts w:ascii="宋体" w:hAnsi="宋体"/>
          <w:sz w:val="24"/>
          <w:szCs w:val="24"/>
        </w:rPr>
        <w:tab/>
      </w:r>
    </w:p>
    <w:p>
      <w:pPr>
        <w:tabs>
          <w:tab w:val="left" w:pos="1276"/>
        </w:tabs>
        <w:jc w:val="left"/>
        <w:outlineLvl w:val="0"/>
        <w:rPr>
          <w:rFonts w:ascii="宋体" w:hAnsi="宋体"/>
          <w:sz w:val="28"/>
          <w:szCs w:val="28"/>
        </w:rPr>
      </w:pPr>
      <w:r>
        <w:rPr>
          <w:rFonts w:hint="eastAsia" w:ascii="宋体" w:hAnsi="宋体"/>
          <w:sz w:val="28"/>
          <w:szCs w:val="28"/>
        </w:rPr>
        <w:t>卖方：</w:t>
      </w:r>
      <w:r>
        <w:rPr>
          <w:rFonts w:ascii="宋体" w:hAnsi="宋体"/>
          <w:sz w:val="28"/>
          <w:szCs w:val="28"/>
          <w:u w:val="single"/>
        </w:rPr>
        <w:t xml:space="preserve">                </w:t>
      </w:r>
    </w:p>
    <w:p>
      <w:pPr>
        <w:tabs>
          <w:tab w:val="left" w:pos="1276"/>
        </w:tabs>
        <w:jc w:val="left"/>
        <w:outlineLvl w:val="0"/>
        <w:rPr>
          <w:rFonts w:ascii="宋体" w:hAnsi="宋体"/>
          <w:sz w:val="28"/>
          <w:szCs w:val="28"/>
        </w:rPr>
      </w:pPr>
      <w:r>
        <w:rPr>
          <w:rFonts w:ascii="宋体" w:hAnsi="宋体"/>
          <w:sz w:val="28"/>
          <w:szCs w:val="28"/>
        </w:rPr>
        <w:t xml:space="preserve">          </w:t>
      </w:r>
      <w:r>
        <w:rPr>
          <w:rFonts w:hint="eastAsia" w:ascii="宋体" w:hAnsi="宋体"/>
          <w:sz w:val="28"/>
          <w:szCs w:val="28"/>
        </w:rPr>
        <w:t>（盖章）</w:t>
      </w:r>
    </w:p>
    <w:p>
      <w:pPr>
        <w:tabs>
          <w:tab w:val="left" w:pos="1276"/>
          <w:tab w:val="left" w:pos="4320"/>
        </w:tabs>
        <w:jc w:val="left"/>
        <w:outlineLvl w:val="0"/>
        <w:rPr>
          <w:rFonts w:ascii="宋体" w:hAnsi="宋体"/>
          <w:sz w:val="28"/>
          <w:szCs w:val="28"/>
        </w:rPr>
      </w:pPr>
      <w:r>
        <w:rPr>
          <w:rFonts w:hint="eastAsia" w:ascii="宋体" w:hAnsi="宋体"/>
          <w:sz w:val="28"/>
          <w:szCs w:val="28"/>
        </w:rPr>
        <w:t>日期：20</w:t>
      </w:r>
      <w:r>
        <w:rPr>
          <w:rFonts w:ascii="宋体" w:hAnsi="宋体"/>
          <w:sz w:val="28"/>
          <w:szCs w:val="28"/>
        </w:rPr>
        <w:t>__</w:t>
      </w:r>
      <w:r>
        <w:rPr>
          <w:rFonts w:hint="eastAsia" w:ascii="宋体" w:hAnsi="宋体"/>
          <w:sz w:val="28"/>
          <w:szCs w:val="28"/>
        </w:rPr>
        <w:t>年_</w:t>
      </w:r>
      <w:r>
        <w:rPr>
          <w:rFonts w:ascii="宋体" w:hAnsi="宋体"/>
          <w:sz w:val="28"/>
          <w:szCs w:val="28"/>
        </w:rPr>
        <w:t>_</w:t>
      </w:r>
      <w:r>
        <w:rPr>
          <w:rFonts w:hint="eastAsia" w:ascii="宋体" w:hAnsi="宋体"/>
          <w:sz w:val="28"/>
          <w:szCs w:val="28"/>
        </w:rPr>
        <w:t>月_</w:t>
      </w:r>
      <w:r>
        <w:rPr>
          <w:rFonts w:ascii="宋体" w:hAnsi="宋体"/>
          <w:sz w:val="28"/>
          <w:szCs w:val="28"/>
        </w:rPr>
        <w:t>_</w:t>
      </w:r>
      <w:r>
        <w:rPr>
          <w:rFonts w:hint="eastAsia" w:ascii="宋体" w:hAnsi="宋体"/>
          <w:sz w:val="28"/>
          <w:szCs w:val="28"/>
        </w:rPr>
        <w:t>日</w:t>
      </w:r>
      <w:r>
        <w:rPr>
          <w:rFonts w:ascii="宋体" w:hAnsi="宋体"/>
          <w:sz w:val="28"/>
          <w:szCs w:val="28"/>
        </w:rPr>
        <w:br w:type="page"/>
      </w:r>
    </w:p>
    <w:p>
      <w:pPr>
        <w:spacing w:before="120"/>
        <w:outlineLvl w:val="0"/>
        <w:rPr>
          <w:rFonts w:ascii="宋体" w:hAnsi="宋体"/>
          <w:b/>
          <w:bCs/>
          <w:sz w:val="32"/>
          <w:szCs w:val="32"/>
        </w:rPr>
      </w:pPr>
      <w:r>
        <w:rPr>
          <w:rFonts w:hint="eastAsia" w:ascii="宋体" w:hAnsi="宋体"/>
          <w:b/>
          <w:bCs/>
          <w:sz w:val="32"/>
          <w:szCs w:val="32"/>
        </w:rPr>
        <w:t xml:space="preserve">附件二 </w:t>
      </w:r>
      <w:r>
        <w:rPr>
          <w:rFonts w:ascii="宋体" w:hAnsi="宋体"/>
          <w:b/>
          <w:bCs/>
          <w:sz w:val="32"/>
          <w:szCs w:val="32"/>
        </w:rPr>
        <w:t xml:space="preserve">                    </w:t>
      </w:r>
    </w:p>
    <w:p>
      <w:pPr>
        <w:jc w:val="center"/>
        <w:outlineLvl w:val="0"/>
        <w:rPr>
          <w:rFonts w:ascii="宋体" w:hAnsi="宋体"/>
          <w:b/>
          <w:bCs/>
          <w:sz w:val="40"/>
          <w:szCs w:val="40"/>
        </w:rPr>
      </w:pPr>
      <w:r>
        <w:rPr>
          <w:rFonts w:hint="eastAsia" w:ascii="宋体" w:hAnsi="宋体"/>
          <w:b/>
          <w:bCs/>
          <w:sz w:val="40"/>
          <w:szCs w:val="40"/>
        </w:rPr>
        <w:t>供应商银行信息</w:t>
      </w:r>
    </w:p>
    <w:p>
      <w:pPr>
        <w:tabs>
          <w:tab w:val="left" w:pos="1276"/>
        </w:tabs>
        <w:spacing w:line="300" w:lineRule="exact"/>
        <w:outlineLvl w:val="0"/>
        <w:rPr>
          <w:rFonts w:ascii="宋体" w:hAnsi="宋体"/>
          <w:sz w:val="24"/>
          <w:szCs w:val="24"/>
        </w:rPr>
      </w:pPr>
    </w:p>
    <w:tbl>
      <w:tblPr>
        <w:tblStyle w:val="15"/>
        <w:tblW w:w="10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6"/>
        <w:gridCol w:w="7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trPr>
        <w:tc>
          <w:tcPr>
            <w:tcW w:w="3676" w:type="dxa"/>
          </w:tcPr>
          <w:p>
            <w:pPr>
              <w:tabs>
                <w:tab w:val="left" w:pos="1276"/>
              </w:tabs>
              <w:jc w:val="center"/>
              <w:outlineLvl w:val="0"/>
              <w:rPr>
                <w:rFonts w:ascii="宋体" w:hAnsi="宋体"/>
                <w:sz w:val="28"/>
                <w:szCs w:val="28"/>
              </w:rPr>
            </w:pPr>
            <w:r>
              <w:rPr>
                <w:rFonts w:hint="eastAsia" w:ascii="宋体" w:hAnsi="宋体"/>
                <w:sz w:val="28"/>
                <w:szCs w:val="28"/>
              </w:rPr>
              <w:t>公司名称</w:t>
            </w:r>
          </w:p>
        </w:tc>
        <w:tc>
          <w:tcPr>
            <w:tcW w:w="7123" w:type="dxa"/>
          </w:tcPr>
          <w:p>
            <w:pPr>
              <w:tabs>
                <w:tab w:val="left" w:pos="1276"/>
              </w:tabs>
              <w:outlineLvl w:val="0"/>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trPr>
        <w:tc>
          <w:tcPr>
            <w:tcW w:w="3676" w:type="dxa"/>
          </w:tcPr>
          <w:p>
            <w:pPr>
              <w:tabs>
                <w:tab w:val="left" w:pos="1276"/>
              </w:tabs>
              <w:jc w:val="center"/>
              <w:outlineLvl w:val="0"/>
              <w:rPr>
                <w:rFonts w:ascii="宋体" w:hAnsi="宋体"/>
                <w:sz w:val="28"/>
                <w:szCs w:val="28"/>
              </w:rPr>
            </w:pPr>
            <w:r>
              <w:rPr>
                <w:rFonts w:hint="eastAsia" w:ascii="宋体" w:hAnsi="宋体"/>
                <w:sz w:val="28"/>
                <w:szCs w:val="28"/>
              </w:rPr>
              <w:t>开户银行</w:t>
            </w:r>
          </w:p>
        </w:tc>
        <w:tc>
          <w:tcPr>
            <w:tcW w:w="7123" w:type="dxa"/>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trPr>
        <w:tc>
          <w:tcPr>
            <w:tcW w:w="3676" w:type="dxa"/>
          </w:tcPr>
          <w:p>
            <w:pPr>
              <w:tabs>
                <w:tab w:val="left" w:pos="1276"/>
              </w:tabs>
              <w:jc w:val="center"/>
              <w:outlineLvl w:val="0"/>
              <w:rPr>
                <w:rFonts w:ascii="宋体" w:hAnsi="宋体"/>
                <w:sz w:val="28"/>
                <w:szCs w:val="28"/>
              </w:rPr>
            </w:pPr>
            <w:r>
              <w:rPr>
                <w:rFonts w:hint="eastAsia" w:ascii="宋体" w:hAnsi="宋体"/>
                <w:sz w:val="28"/>
                <w:szCs w:val="28"/>
              </w:rPr>
              <w:t>银行账号</w:t>
            </w:r>
          </w:p>
        </w:tc>
        <w:tc>
          <w:tcPr>
            <w:tcW w:w="7123" w:type="dxa"/>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trPr>
        <w:tc>
          <w:tcPr>
            <w:tcW w:w="3676" w:type="dxa"/>
          </w:tcPr>
          <w:p>
            <w:pPr>
              <w:tabs>
                <w:tab w:val="left" w:pos="1276"/>
              </w:tabs>
              <w:jc w:val="center"/>
              <w:outlineLvl w:val="0"/>
              <w:rPr>
                <w:rFonts w:ascii="宋体" w:hAnsi="宋体"/>
                <w:sz w:val="28"/>
                <w:szCs w:val="28"/>
              </w:rPr>
            </w:pPr>
            <w:r>
              <w:rPr>
                <w:rFonts w:hint="eastAsia" w:ascii="宋体" w:hAnsi="宋体"/>
                <w:sz w:val="28"/>
                <w:szCs w:val="28"/>
              </w:rPr>
              <w:t>社会信用代码</w:t>
            </w:r>
          </w:p>
        </w:tc>
        <w:tc>
          <w:tcPr>
            <w:tcW w:w="7123" w:type="dxa"/>
          </w:tcPr>
          <w:p>
            <w:pPr>
              <w:tabs>
                <w:tab w:val="left" w:pos="1276"/>
              </w:tabs>
              <w:outlineLvl w:val="0"/>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trPr>
        <w:tc>
          <w:tcPr>
            <w:tcW w:w="3676" w:type="dxa"/>
          </w:tcPr>
          <w:p>
            <w:pPr>
              <w:tabs>
                <w:tab w:val="left" w:pos="1276"/>
              </w:tabs>
              <w:jc w:val="center"/>
              <w:outlineLvl w:val="0"/>
              <w:rPr>
                <w:rFonts w:ascii="宋体" w:hAnsi="宋体"/>
                <w:sz w:val="28"/>
                <w:szCs w:val="28"/>
              </w:rPr>
            </w:pPr>
            <w:r>
              <w:rPr>
                <w:rFonts w:hint="eastAsia" w:ascii="宋体" w:hAnsi="宋体"/>
                <w:sz w:val="28"/>
                <w:szCs w:val="28"/>
              </w:rPr>
              <w:t>大额支付行号</w:t>
            </w:r>
          </w:p>
        </w:tc>
        <w:tc>
          <w:tcPr>
            <w:tcW w:w="7123" w:type="dxa"/>
          </w:tcPr>
          <w:p>
            <w:pPr>
              <w:tabs>
                <w:tab w:val="left" w:pos="1276"/>
              </w:tabs>
              <w:outlineLvl w:val="0"/>
              <w:rPr>
                <w:rFonts w:ascii="宋体" w:hAnsi="宋体"/>
                <w:sz w:val="28"/>
                <w:szCs w:val="28"/>
              </w:rPr>
            </w:pPr>
          </w:p>
        </w:tc>
      </w:tr>
    </w:tbl>
    <w:p>
      <w:pPr>
        <w:tabs>
          <w:tab w:val="left" w:pos="1276"/>
        </w:tabs>
        <w:outlineLvl w:val="0"/>
        <w:rPr>
          <w:rFonts w:ascii="宋体" w:hAnsi="宋体"/>
          <w:sz w:val="24"/>
          <w:szCs w:val="24"/>
        </w:rPr>
      </w:pPr>
      <w:r>
        <w:rPr>
          <w:rFonts w:hint="eastAsia" w:ascii="宋体" w:hAnsi="宋体"/>
          <w:sz w:val="24"/>
          <w:szCs w:val="24"/>
        </w:rPr>
        <w:t>注：如供应商提供的银行信息与合同正文签字页的信息有冲突，以盖章附件为准。</w:t>
      </w:r>
    </w:p>
    <w:p>
      <w:pPr>
        <w:tabs>
          <w:tab w:val="left" w:pos="1276"/>
        </w:tabs>
        <w:outlineLvl w:val="0"/>
        <w:rPr>
          <w:rFonts w:ascii="宋体" w:hAnsi="宋体"/>
          <w:sz w:val="28"/>
          <w:szCs w:val="28"/>
        </w:rPr>
      </w:pPr>
    </w:p>
    <w:p>
      <w:pPr>
        <w:wordWrap w:val="0"/>
        <w:jc w:val="cente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（财务章）</w:t>
      </w:r>
    </w:p>
    <w:p>
      <w:pPr>
        <w:snapToGrid w:val="0"/>
        <w:spacing w:line="560" w:lineRule="exact"/>
        <w:ind w:right="640" w:firstLine="5600" w:firstLineChars="2000"/>
        <w:jc w:val="right"/>
        <w:rPr>
          <w:rFonts w:ascii="宋体" w:hAnsi="宋体"/>
          <w:sz w:val="28"/>
          <w:szCs w:val="28"/>
        </w:rPr>
      </w:pPr>
    </w:p>
    <w:sectPr>
      <w:headerReference r:id="rId3" w:type="default"/>
      <w:footerReference r:id="rId4" w:type="default"/>
      <w:type w:val="continuous"/>
      <w:pgSz w:w="11906" w:h="16838"/>
      <w:pgMar w:top="1276" w:right="566" w:bottom="1134" w:left="851" w:header="567" w:footer="827"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腾祥睿黑简-W6">
    <w:altName w:val="黑体"/>
    <w:panose1 w:val="00000000000000000000"/>
    <w:charset w:val="86"/>
    <w:family w:val="auto"/>
    <w:pitch w:val="default"/>
    <w:sig w:usb0="00000000" w:usb1="00000000" w:usb2="00000012" w:usb3="00000000" w:csb0="00040001"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ambria Math">
    <w:panose1 w:val="02040503050406030204"/>
    <w:charset w:val="00"/>
    <w:family w:val="roman"/>
    <w:pitch w:val="default"/>
    <w:sig w:usb0="E00002FF" w:usb1="420024FF" w:usb2="00000000" w:usb3="00000000" w:csb0="2000019F" w:csb1="00000000"/>
  </w:font>
  <w:font w:name="方正汉真广标简体">
    <w:altName w:val="微软雅黑"/>
    <w:panose1 w:val="00000000000000000000"/>
    <w:charset w:val="86"/>
    <w:family w:val="auto"/>
    <w:pitch w:val="default"/>
    <w:sig w:usb0="00000000" w:usb1="00000000" w:usb2="0000001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81929839"/>
    </w:sdtPr>
    <w:sdtContent>
      <w:sdt>
        <w:sdtPr>
          <w:id w:val="-1705238520"/>
        </w:sdtPr>
        <w:sdtContent>
          <w:p>
            <w:pPr>
              <w:pStyle w:val="6"/>
              <w:jc w:val="right"/>
            </w:pPr>
            <w:r>
              <w:rPr>
                <w:rFonts w:ascii="宋体" w:hAnsi="宋体"/>
                <w:b/>
                <w:bCs/>
                <w:i/>
                <w:iCs/>
                <w:sz w:val="20"/>
                <w:szCs w:val="20"/>
              </w:rPr>
              <mc:AlternateContent>
                <mc:Choice Requires="wps">
                  <w:drawing>
                    <wp:anchor distT="45720" distB="45720" distL="114300" distR="114300" simplePos="0" relativeHeight="251659264" behindDoc="1" locked="0" layoutInCell="1" allowOverlap="1">
                      <wp:simplePos x="0" y="0"/>
                      <wp:positionH relativeFrom="margin">
                        <wp:posOffset>0</wp:posOffset>
                      </wp:positionH>
                      <wp:positionV relativeFrom="page">
                        <wp:posOffset>9959975</wp:posOffset>
                      </wp:positionV>
                      <wp:extent cx="3705860" cy="262890"/>
                      <wp:effectExtent l="0" t="0" r="28575" b="20955"/>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705859" cy="262889"/>
                              </a:xfrm>
                              <a:prstGeom prst="rect">
                                <a:avLst/>
                              </a:prstGeom>
                              <a:solidFill>
                                <a:schemeClr val="bg1">
                                  <a:lumMod val="75000"/>
                                </a:schemeClr>
                              </a:solidFill>
                              <a:ln w="9525">
                                <a:solidFill>
                                  <a:srgbClr val="000000"/>
                                </a:solidFill>
                                <a:miter lim="800000"/>
                              </a:ln>
                            </wps:spPr>
                            <wps:txbx>
                              <w:txbxContent>
                                <w:p>
                                  <w:pPr>
                                    <w:rPr>
                                      <w:rFonts w:ascii="宋体" w:hAnsi="宋体"/>
                                      <w:b/>
                                      <w:bCs/>
                                      <w:i/>
                                      <w:iCs/>
                                      <w:color w:val="000000" w:themeColor="text1"/>
                                      <w:sz w:val="20"/>
                                      <w:szCs w:val="20"/>
                                      <w14:textFill>
                                        <w14:solidFill>
                                          <w14:schemeClr w14:val="tx1"/>
                                        </w14:solidFill>
                                      </w14:textFill>
                                    </w:rPr>
                                  </w:pPr>
                                  <w:r>
                                    <w:rPr>
                                      <w:rFonts w:ascii="宋体" w:hAnsi="宋体"/>
                                      <w:b/>
                                      <w:bCs/>
                                      <w:i/>
                                      <w:iCs/>
                                      <w:color w:val="000000" w:themeColor="text1"/>
                                      <w:sz w:val="20"/>
                                      <w:szCs w:val="20"/>
                                      <w14:textFill>
                                        <w14:solidFill>
                                          <w14:schemeClr w14:val="tx1"/>
                                        </w14:solidFill>
                                      </w14:textFill>
                                    </w:rPr>
                                    <w:t>合同模板编号:DT-JKM1-R20220907-C</w:t>
                                  </w:r>
                                </w:p>
                                <w:p>
                                  <w:pPr>
                                    <w:rPr>
                                      <w:rFonts w:ascii="宋体" w:hAnsi="宋体"/>
                                      <w:b/>
                                      <w:bCs/>
                                      <w:i/>
                                      <w:iCs/>
                                      <w:color w:val="000000" w:themeColor="text1"/>
                                      <w:sz w:val="20"/>
                                      <w:szCs w:val="20"/>
                                      <w14:textFill>
                                        <w14:solidFill>
                                          <w14:schemeClr w14:val="tx1"/>
                                        </w14:solidFill>
                                      </w14:textFill>
                                    </w:rPr>
                                  </w:pPr>
                                  <w:r>
                                    <w:rPr>
                                      <w:rFonts w:hint="eastAsia" w:ascii="宋体" w:hAnsi="宋体"/>
                                      <w:b/>
                                      <w:bCs/>
                                      <w:i/>
                                      <w:iCs/>
                                      <w:color w:val="000000" w:themeColor="text1"/>
                                      <w:sz w:val="20"/>
                                      <w:szCs w:val="20"/>
                                      <w14:textFill>
                                        <w14:solidFill>
                                          <w14:schemeClr w14:val="tx1"/>
                                        </w14:solidFill>
                                      </w14:textFill>
                                    </w:rPr>
                                    <w:t>电厂码头及公共港口</w:t>
                                  </w:r>
                                  <w:r>
                                    <w:rPr>
                                      <w:rFonts w:ascii="宋体" w:hAnsi="宋体"/>
                                      <w:b/>
                                      <w:bCs/>
                                      <w:i/>
                                      <w:iCs/>
                                      <w:color w:val="000000" w:themeColor="text1"/>
                                      <w:sz w:val="20"/>
                                      <w:szCs w:val="20"/>
                                      <w14:textFill>
                                        <w14:solidFill>
                                          <w14:schemeClr w14:val="tx1"/>
                                        </w14:solidFill>
                                      </w14:textFill>
                                    </w:rPr>
                                    <w:t>舱底交货专用</w:t>
                                  </w:r>
                                  <w:r>
                                    <w:rPr>
                                      <w:rFonts w:hint="eastAsia" w:ascii="宋体" w:hAnsi="宋体"/>
                                      <w:b/>
                                      <w:bCs/>
                                      <w:i/>
                                      <w:iCs/>
                                      <w:color w:val="000000" w:themeColor="text1"/>
                                      <w:sz w:val="20"/>
                                      <w:szCs w:val="20"/>
                                      <w14:textFill>
                                        <w14:solidFill>
                                          <w14:schemeClr w14:val="tx1"/>
                                        </w14:solidFill>
                                      </w14:textFill>
                                    </w:rPr>
                                    <w:t>采购</w:t>
                                  </w:r>
                                  <w:r>
                                    <w:rPr>
                                      <w:rFonts w:ascii="宋体" w:hAnsi="宋体"/>
                                      <w:b/>
                                      <w:bCs/>
                                      <w:i/>
                                      <w:iCs/>
                                      <w:color w:val="000000" w:themeColor="text1"/>
                                      <w:sz w:val="20"/>
                                      <w:szCs w:val="20"/>
                                      <w14:textFill>
                                        <w14:solidFill>
                                          <w14:schemeClr w14:val="tx1"/>
                                        </w14:solidFill>
                                      </w14:textFill>
                                    </w:rPr>
                                    <w:t>合同</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0pt;margin-top:784.25pt;height:20.7pt;width:291.8pt;mso-position-horizontal-relative:margin;mso-position-vertical-relative:page;mso-wrap-distance-bottom:3.6pt;mso-wrap-distance-left:9pt;mso-wrap-distance-right:9pt;mso-wrap-distance-top:3.6pt;z-index:-251657216;mso-width-relative:page;mso-height-relative:margin;mso-height-percent:200;" fillcolor="#BFBFBF [2412]" filled="t" stroked="t" coordsize="21600,21600" o:gfxdata="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ITeg92gAAAAoBAAAPAAAAAAAAAAEAIAAAACIAAABkcnMvZG93bnJl&#10;di54bWxQSwECFAAUAAAACACHTuJAbZknrTQCAABRBAAADgAAAAAAAAABACAAAAApAQAAZHJzL2Uy&#10;b0RvYy54bWxQSwUGAAAAAAYABgBZAQAAzwUAAAAA&#10;">
                      <v:fill on="t" focussize="0,0"/>
                      <v:stroke color="#000000" miterlimit="8" joinstyle="miter"/>
                      <v:imagedata o:title=""/>
                      <o:lock v:ext="edit" aspectratio="f"/>
                      <v:textbox style="mso-fit-shape-to-text:t;">
                        <w:txbxContent>
                          <w:p>
                            <w:pPr>
                              <w:rPr>
                                <w:rFonts w:ascii="宋体" w:hAnsi="宋体"/>
                                <w:b/>
                                <w:bCs/>
                                <w:i/>
                                <w:iCs/>
                                <w:color w:val="000000" w:themeColor="text1"/>
                                <w:sz w:val="20"/>
                                <w:szCs w:val="20"/>
                                <w14:textFill>
                                  <w14:solidFill>
                                    <w14:schemeClr w14:val="tx1"/>
                                  </w14:solidFill>
                                </w14:textFill>
                              </w:rPr>
                            </w:pPr>
                            <w:r>
                              <w:rPr>
                                <w:rFonts w:ascii="宋体" w:hAnsi="宋体"/>
                                <w:b/>
                                <w:bCs/>
                                <w:i/>
                                <w:iCs/>
                                <w:color w:val="000000" w:themeColor="text1"/>
                                <w:sz w:val="20"/>
                                <w:szCs w:val="20"/>
                                <w14:textFill>
                                  <w14:solidFill>
                                    <w14:schemeClr w14:val="tx1"/>
                                  </w14:solidFill>
                                </w14:textFill>
                              </w:rPr>
                              <w:t>合同模板编号:DT-JKM1-R20220907-C</w:t>
                            </w:r>
                          </w:p>
                          <w:p>
                            <w:pPr>
                              <w:rPr>
                                <w:rFonts w:ascii="宋体" w:hAnsi="宋体"/>
                                <w:b/>
                                <w:bCs/>
                                <w:i/>
                                <w:iCs/>
                                <w:color w:val="000000" w:themeColor="text1"/>
                                <w:sz w:val="20"/>
                                <w:szCs w:val="20"/>
                                <w14:textFill>
                                  <w14:solidFill>
                                    <w14:schemeClr w14:val="tx1"/>
                                  </w14:solidFill>
                                </w14:textFill>
                              </w:rPr>
                            </w:pPr>
                            <w:r>
                              <w:rPr>
                                <w:rFonts w:hint="eastAsia" w:ascii="宋体" w:hAnsi="宋体"/>
                                <w:b/>
                                <w:bCs/>
                                <w:i/>
                                <w:iCs/>
                                <w:color w:val="000000" w:themeColor="text1"/>
                                <w:sz w:val="20"/>
                                <w:szCs w:val="20"/>
                                <w14:textFill>
                                  <w14:solidFill>
                                    <w14:schemeClr w14:val="tx1"/>
                                  </w14:solidFill>
                                </w14:textFill>
                              </w:rPr>
                              <w:t>电厂码头及公共港口</w:t>
                            </w:r>
                            <w:r>
                              <w:rPr>
                                <w:rFonts w:ascii="宋体" w:hAnsi="宋体"/>
                                <w:b/>
                                <w:bCs/>
                                <w:i/>
                                <w:iCs/>
                                <w:color w:val="000000" w:themeColor="text1"/>
                                <w:sz w:val="20"/>
                                <w:szCs w:val="20"/>
                                <w14:textFill>
                                  <w14:solidFill>
                                    <w14:schemeClr w14:val="tx1"/>
                                  </w14:solidFill>
                                </w14:textFill>
                              </w:rPr>
                              <w:t>舱底交货专用</w:t>
                            </w:r>
                            <w:r>
                              <w:rPr>
                                <w:rFonts w:hint="eastAsia" w:ascii="宋体" w:hAnsi="宋体"/>
                                <w:b/>
                                <w:bCs/>
                                <w:i/>
                                <w:iCs/>
                                <w:color w:val="000000" w:themeColor="text1"/>
                                <w:sz w:val="20"/>
                                <w:szCs w:val="20"/>
                                <w14:textFill>
                                  <w14:solidFill>
                                    <w14:schemeClr w14:val="tx1"/>
                                  </w14:solidFill>
                                </w14:textFill>
                              </w:rPr>
                              <w:t>采购</w:t>
                            </w:r>
                            <w:r>
                              <w:rPr>
                                <w:rFonts w:ascii="宋体" w:hAnsi="宋体"/>
                                <w:b/>
                                <w:bCs/>
                                <w:i/>
                                <w:iCs/>
                                <w:color w:val="000000" w:themeColor="text1"/>
                                <w:sz w:val="20"/>
                                <w:szCs w:val="20"/>
                                <w14:textFill>
                                  <w14:solidFill>
                                    <w14:schemeClr w14:val="tx1"/>
                                  </w14:solidFill>
                                </w14:textFill>
                              </w:rPr>
                              <w:t>合同</w:t>
                            </w:r>
                          </w:p>
                        </w:txbxContent>
                      </v:textbox>
                      <w10:wrap type="square"/>
                    </v:shape>
                  </w:pict>
                </mc:Fallback>
              </mc:AlternateContent>
            </w:r>
            <w:r>
              <w:rPr>
                <w:lang w:val="zh-CN"/>
              </w:rPr>
              <w:t xml:space="preserve"> </w:t>
            </w:r>
            <w:r>
              <w:rPr>
                <w:sz w:val="24"/>
                <w:szCs w:val="24"/>
              </w:rPr>
              <w:fldChar w:fldCharType="begin"/>
            </w:r>
            <w:r>
              <w:instrText xml:space="preserve">PAGE</w:instrText>
            </w:r>
            <w:r>
              <w:rPr>
                <w:sz w:val="24"/>
                <w:szCs w:val="24"/>
              </w:rPr>
              <w:fldChar w:fldCharType="separate"/>
            </w:r>
            <w:r>
              <w:rPr>
                <w:lang w:val="zh-CN"/>
              </w:rPr>
              <w:t>2</w:t>
            </w:r>
            <w:r>
              <w:rPr>
                <w:sz w:val="24"/>
                <w:szCs w:val="24"/>
              </w:rPr>
              <w:fldChar w:fldCharType="end"/>
            </w:r>
            <w:r>
              <w:rPr>
                <w:lang w:val="zh-CN"/>
              </w:rPr>
              <w:t>/</w:t>
            </w:r>
            <w:r>
              <w:rPr>
                <w:sz w:val="24"/>
                <w:szCs w:val="24"/>
              </w:rPr>
              <w:fldChar w:fldCharType="begin"/>
            </w:r>
            <w:r>
              <w:instrText xml:space="preserve">NUMPAGES</w:instrText>
            </w:r>
            <w:r>
              <w:rPr>
                <w:sz w:val="24"/>
                <w:szCs w:val="24"/>
              </w:rPr>
              <w:fldChar w:fldCharType="separate"/>
            </w:r>
            <w:r>
              <w:rPr>
                <w:lang w:val="zh-CN"/>
              </w:rPr>
              <w:t>2</w:t>
            </w:r>
            <w:r>
              <w:rPr>
                <w:sz w:val="24"/>
                <w:szCs w:val="24"/>
              </w:rPr>
              <w:fldChar w:fldCharType="end"/>
            </w:r>
          </w:p>
        </w:sdtContent>
      </w:sdt>
    </w:sdtContent>
  </w:sdt>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rPr>
        <w:rFonts w:ascii="方正汉真广标简体" w:hAnsi="宋体" w:eastAsia="方正汉真广标简体"/>
        <w:position w:val="8"/>
        <w:sz w:val="24"/>
        <w:szCs w:val="24"/>
      </w:rPr>
      <w:drawing>
        <wp:inline distT="0" distB="0" distL="0" distR="0">
          <wp:extent cx="2171700" cy="28130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2173422" cy="28153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C3C83"/>
    <w:multiLevelType w:val="multilevel"/>
    <w:tmpl w:val="2C2C3C83"/>
    <w:lvl w:ilvl="0" w:tentative="0">
      <w:start w:val="1"/>
      <w:numFmt w:val="decimal"/>
      <w:lvlText w:val="%1）"/>
      <w:lvlJc w:val="left"/>
      <w:pPr>
        <w:ind w:left="1636" w:hanging="360"/>
      </w:pPr>
      <w:rPr>
        <w:rFonts w:hint="default"/>
      </w:rPr>
    </w:lvl>
    <w:lvl w:ilvl="1" w:tentative="0">
      <w:start w:val="1"/>
      <w:numFmt w:val="decimal"/>
      <w:lvlText w:val="%2、"/>
      <w:lvlJc w:val="left"/>
      <w:pPr>
        <w:ind w:left="2056" w:hanging="360"/>
      </w:pPr>
      <w:rPr>
        <w:rFonts w:hint="default"/>
      </w:r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1">
    <w:nsid w:val="34E504B2"/>
    <w:multiLevelType w:val="multilevel"/>
    <w:tmpl w:val="34E504B2"/>
    <w:lvl w:ilvl="0" w:tentative="0">
      <w:start w:val="1"/>
      <w:numFmt w:val="decimal"/>
      <w:lvlText w:val="%1"/>
      <w:lvlJc w:val="left"/>
      <w:pPr>
        <w:ind w:left="425" w:hanging="425"/>
      </w:pPr>
    </w:lvl>
    <w:lvl w:ilvl="1" w:tentative="0">
      <w:start w:val="1"/>
      <w:numFmt w:val="decimal"/>
      <w:lvlText w:val="%1.%2"/>
      <w:lvlJc w:val="left"/>
      <w:pPr>
        <w:ind w:left="1135" w:hanging="567"/>
      </w:pPr>
    </w:lvl>
    <w:lvl w:ilvl="2" w:tentative="0">
      <w:start w:val="1"/>
      <w:numFmt w:val="decimal"/>
      <w:lvlText w:val="%1.%2.%3"/>
      <w:lvlJc w:val="left"/>
      <w:pPr>
        <w:ind w:left="1418" w:hanging="567"/>
      </w:pPr>
    </w:lvl>
    <w:lvl w:ilvl="3" w:tentative="0">
      <w:start w:val="1"/>
      <w:numFmt w:val="decimal"/>
      <w:lvlText w:val="%1.%2.%3.%4"/>
      <w:lvlJc w:val="left"/>
      <w:pPr>
        <w:ind w:left="1700"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70A66610"/>
    <w:multiLevelType w:val="multilevel"/>
    <w:tmpl w:val="70A66610"/>
    <w:lvl w:ilvl="0" w:tentative="0">
      <w:start w:val="1"/>
      <w:numFmt w:val="decimal"/>
      <w:lvlText w:val="%1）"/>
      <w:lvlJc w:val="left"/>
      <w:pPr>
        <w:ind w:left="785" w:hanging="360"/>
      </w:pPr>
      <w:rPr>
        <w:rFonts w:hint="default"/>
      </w:rPr>
    </w:lvl>
    <w:lvl w:ilvl="1" w:tentative="0">
      <w:start w:val="1"/>
      <w:numFmt w:val="decimal"/>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form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E39"/>
    <w:rsid w:val="000031E6"/>
    <w:rsid w:val="00004831"/>
    <w:rsid w:val="0000514F"/>
    <w:rsid w:val="00006263"/>
    <w:rsid w:val="00006CDC"/>
    <w:rsid w:val="00007009"/>
    <w:rsid w:val="00011E31"/>
    <w:rsid w:val="00012DB3"/>
    <w:rsid w:val="000131B3"/>
    <w:rsid w:val="00014CA3"/>
    <w:rsid w:val="00014DD4"/>
    <w:rsid w:val="00016CD0"/>
    <w:rsid w:val="000178F2"/>
    <w:rsid w:val="0002014B"/>
    <w:rsid w:val="000205A7"/>
    <w:rsid w:val="00021A89"/>
    <w:rsid w:val="00022682"/>
    <w:rsid w:val="000234EC"/>
    <w:rsid w:val="0002516C"/>
    <w:rsid w:val="0002521A"/>
    <w:rsid w:val="00026361"/>
    <w:rsid w:val="000277F0"/>
    <w:rsid w:val="00027C22"/>
    <w:rsid w:val="00031231"/>
    <w:rsid w:val="00034030"/>
    <w:rsid w:val="0003454A"/>
    <w:rsid w:val="0003472B"/>
    <w:rsid w:val="00034C0C"/>
    <w:rsid w:val="000353CA"/>
    <w:rsid w:val="0003589D"/>
    <w:rsid w:val="000359E0"/>
    <w:rsid w:val="00036DCE"/>
    <w:rsid w:val="00037BCD"/>
    <w:rsid w:val="00037F2B"/>
    <w:rsid w:val="00040589"/>
    <w:rsid w:val="000406AF"/>
    <w:rsid w:val="00040860"/>
    <w:rsid w:val="00041055"/>
    <w:rsid w:val="0004127F"/>
    <w:rsid w:val="00042BE1"/>
    <w:rsid w:val="000438A2"/>
    <w:rsid w:val="00043EEE"/>
    <w:rsid w:val="00044459"/>
    <w:rsid w:val="0004575A"/>
    <w:rsid w:val="00046989"/>
    <w:rsid w:val="000502AC"/>
    <w:rsid w:val="00050F8E"/>
    <w:rsid w:val="000522CB"/>
    <w:rsid w:val="0005255B"/>
    <w:rsid w:val="00052F4C"/>
    <w:rsid w:val="000540F4"/>
    <w:rsid w:val="00064B45"/>
    <w:rsid w:val="00064D01"/>
    <w:rsid w:val="00065BFD"/>
    <w:rsid w:val="00066423"/>
    <w:rsid w:val="00070143"/>
    <w:rsid w:val="00070A51"/>
    <w:rsid w:val="00071798"/>
    <w:rsid w:val="000728CC"/>
    <w:rsid w:val="00073D5B"/>
    <w:rsid w:val="000749F4"/>
    <w:rsid w:val="00074A29"/>
    <w:rsid w:val="000760A9"/>
    <w:rsid w:val="00077175"/>
    <w:rsid w:val="00077903"/>
    <w:rsid w:val="00080221"/>
    <w:rsid w:val="000805FB"/>
    <w:rsid w:val="00080654"/>
    <w:rsid w:val="00080CD9"/>
    <w:rsid w:val="000817A5"/>
    <w:rsid w:val="00081CA2"/>
    <w:rsid w:val="000826C2"/>
    <w:rsid w:val="00085255"/>
    <w:rsid w:val="0008651A"/>
    <w:rsid w:val="000868A3"/>
    <w:rsid w:val="000902AD"/>
    <w:rsid w:val="000905BB"/>
    <w:rsid w:val="0009135C"/>
    <w:rsid w:val="000928C6"/>
    <w:rsid w:val="00095B47"/>
    <w:rsid w:val="00096FEC"/>
    <w:rsid w:val="0009749A"/>
    <w:rsid w:val="000976E8"/>
    <w:rsid w:val="00097FEF"/>
    <w:rsid w:val="000A17F9"/>
    <w:rsid w:val="000A2437"/>
    <w:rsid w:val="000A2697"/>
    <w:rsid w:val="000A290B"/>
    <w:rsid w:val="000A37E0"/>
    <w:rsid w:val="000A44B4"/>
    <w:rsid w:val="000A4D4E"/>
    <w:rsid w:val="000A5A55"/>
    <w:rsid w:val="000A65DF"/>
    <w:rsid w:val="000A6C45"/>
    <w:rsid w:val="000A78AA"/>
    <w:rsid w:val="000B0887"/>
    <w:rsid w:val="000B26D2"/>
    <w:rsid w:val="000B43A2"/>
    <w:rsid w:val="000C0D1C"/>
    <w:rsid w:val="000C32E8"/>
    <w:rsid w:val="000C3D0E"/>
    <w:rsid w:val="000C52EC"/>
    <w:rsid w:val="000C7CC4"/>
    <w:rsid w:val="000C7CE4"/>
    <w:rsid w:val="000C7E9A"/>
    <w:rsid w:val="000D026D"/>
    <w:rsid w:val="000D0E2B"/>
    <w:rsid w:val="000D0FF0"/>
    <w:rsid w:val="000D10DA"/>
    <w:rsid w:val="000D2998"/>
    <w:rsid w:val="000D2C7E"/>
    <w:rsid w:val="000D4ADE"/>
    <w:rsid w:val="000D5441"/>
    <w:rsid w:val="000D581C"/>
    <w:rsid w:val="000D5DCB"/>
    <w:rsid w:val="000E05D7"/>
    <w:rsid w:val="000E1AA9"/>
    <w:rsid w:val="000E1BA2"/>
    <w:rsid w:val="000E2604"/>
    <w:rsid w:val="000E308F"/>
    <w:rsid w:val="000E35D0"/>
    <w:rsid w:val="000E3EDD"/>
    <w:rsid w:val="000E4146"/>
    <w:rsid w:val="000E4B7F"/>
    <w:rsid w:val="000E4D1F"/>
    <w:rsid w:val="000E5377"/>
    <w:rsid w:val="000E6E36"/>
    <w:rsid w:val="000F4730"/>
    <w:rsid w:val="000F556B"/>
    <w:rsid w:val="000F72BC"/>
    <w:rsid w:val="001003F9"/>
    <w:rsid w:val="00100771"/>
    <w:rsid w:val="00101EC9"/>
    <w:rsid w:val="001034EC"/>
    <w:rsid w:val="0010392B"/>
    <w:rsid w:val="001044E1"/>
    <w:rsid w:val="00105D12"/>
    <w:rsid w:val="0010681F"/>
    <w:rsid w:val="00107003"/>
    <w:rsid w:val="001116F0"/>
    <w:rsid w:val="00113BBD"/>
    <w:rsid w:val="00113F8B"/>
    <w:rsid w:val="00115D11"/>
    <w:rsid w:val="00121AF7"/>
    <w:rsid w:val="0012262A"/>
    <w:rsid w:val="00122F14"/>
    <w:rsid w:val="00122F88"/>
    <w:rsid w:val="001232E0"/>
    <w:rsid w:val="00125AC2"/>
    <w:rsid w:val="00125BDA"/>
    <w:rsid w:val="00127F4E"/>
    <w:rsid w:val="00132736"/>
    <w:rsid w:val="0013291A"/>
    <w:rsid w:val="0013318C"/>
    <w:rsid w:val="001349E4"/>
    <w:rsid w:val="001365CE"/>
    <w:rsid w:val="00136904"/>
    <w:rsid w:val="001376BD"/>
    <w:rsid w:val="0013776B"/>
    <w:rsid w:val="00140715"/>
    <w:rsid w:val="00140C7E"/>
    <w:rsid w:val="0014195E"/>
    <w:rsid w:val="00141CDF"/>
    <w:rsid w:val="00142797"/>
    <w:rsid w:val="00143E9C"/>
    <w:rsid w:val="00144CD3"/>
    <w:rsid w:val="00145CDF"/>
    <w:rsid w:val="00150300"/>
    <w:rsid w:val="0015069A"/>
    <w:rsid w:val="00153109"/>
    <w:rsid w:val="001538EF"/>
    <w:rsid w:val="00153AB3"/>
    <w:rsid w:val="00154601"/>
    <w:rsid w:val="00154A72"/>
    <w:rsid w:val="00154DF2"/>
    <w:rsid w:val="001554DD"/>
    <w:rsid w:val="0015654A"/>
    <w:rsid w:val="00156CD6"/>
    <w:rsid w:val="00156D46"/>
    <w:rsid w:val="0015787B"/>
    <w:rsid w:val="001606ED"/>
    <w:rsid w:val="00160CDD"/>
    <w:rsid w:val="001615AE"/>
    <w:rsid w:val="00162B2D"/>
    <w:rsid w:val="001631E0"/>
    <w:rsid w:val="00165CB4"/>
    <w:rsid w:val="0016676C"/>
    <w:rsid w:val="0016705E"/>
    <w:rsid w:val="0017297D"/>
    <w:rsid w:val="00173F9F"/>
    <w:rsid w:val="00173FF1"/>
    <w:rsid w:val="001745EE"/>
    <w:rsid w:val="00175A16"/>
    <w:rsid w:val="001767DC"/>
    <w:rsid w:val="00180E08"/>
    <w:rsid w:val="00182110"/>
    <w:rsid w:val="00182B9C"/>
    <w:rsid w:val="00185438"/>
    <w:rsid w:val="00185CCC"/>
    <w:rsid w:val="00185D9A"/>
    <w:rsid w:val="001869D0"/>
    <w:rsid w:val="00187188"/>
    <w:rsid w:val="001901E1"/>
    <w:rsid w:val="00193682"/>
    <w:rsid w:val="001939DC"/>
    <w:rsid w:val="001956C1"/>
    <w:rsid w:val="00196187"/>
    <w:rsid w:val="001967B3"/>
    <w:rsid w:val="00196D43"/>
    <w:rsid w:val="00196F38"/>
    <w:rsid w:val="00197474"/>
    <w:rsid w:val="001A1B23"/>
    <w:rsid w:val="001A342F"/>
    <w:rsid w:val="001A3F9A"/>
    <w:rsid w:val="001A4F96"/>
    <w:rsid w:val="001A5F19"/>
    <w:rsid w:val="001B0312"/>
    <w:rsid w:val="001B1F44"/>
    <w:rsid w:val="001B54D0"/>
    <w:rsid w:val="001B6243"/>
    <w:rsid w:val="001B68A7"/>
    <w:rsid w:val="001B7444"/>
    <w:rsid w:val="001B7EFC"/>
    <w:rsid w:val="001C13E0"/>
    <w:rsid w:val="001C1CB4"/>
    <w:rsid w:val="001C2129"/>
    <w:rsid w:val="001C249E"/>
    <w:rsid w:val="001C2827"/>
    <w:rsid w:val="001C3E58"/>
    <w:rsid w:val="001C4C37"/>
    <w:rsid w:val="001C5002"/>
    <w:rsid w:val="001C6953"/>
    <w:rsid w:val="001D053F"/>
    <w:rsid w:val="001D144E"/>
    <w:rsid w:val="001D2CE8"/>
    <w:rsid w:val="001D4934"/>
    <w:rsid w:val="001D4AE2"/>
    <w:rsid w:val="001D5575"/>
    <w:rsid w:val="001D7CF4"/>
    <w:rsid w:val="001E0292"/>
    <w:rsid w:val="001E2389"/>
    <w:rsid w:val="001E2755"/>
    <w:rsid w:val="001E2F5A"/>
    <w:rsid w:val="001E3EEC"/>
    <w:rsid w:val="001E487B"/>
    <w:rsid w:val="001E5E19"/>
    <w:rsid w:val="001E63D9"/>
    <w:rsid w:val="001E6425"/>
    <w:rsid w:val="001E678C"/>
    <w:rsid w:val="001E79D8"/>
    <w:rsid w:val="001F27D2"/>
    <w:rsid w:val="001F2CF8"/>
    <w:rsid w:val="001F4AA5"/>
    <w:rsid w:val="001F634E"/>
    <w:rsid w:val="00200D66"/>
    <w:rsid w:val="00202E81"/>
    <w:rsid w:val="00203959"/>
    <w:rsid w:val="00204F15"/>
    <w:rsid w:val="0020758E"/>
    <w:rsid w:val="00207989"/>
    <w:rsid w:val="0021034E"/>
    <w:rsid w:val="00210641"/>
    <w:rsid w:val="002107D2"/>
    <w:rsid w:val="00210985"/>
    <w:rsid w:val="00210A35"/>
    <w:rsid w:val="00210E8A"/>
    <w:rsid w:val="00211D2D"/>
    <w:rsid w:val="00212EB9"/>
    <w:rsid w:val="0021422C"/>
    <w:rsid w:val="00214541"/>
    <w:rsid w:val="00215F1D"/>
    <w:rsid w:val="0021651F"/>
    <w:rsid w:val="00217022"/>
    <w:rsid w:val="00217527"/>
    <w:rsid w:val="00217EA6"/>
    <w:rsid w:val="00220F06"/>
    <w:rsid w:val="002212DD"/>
    <w:rsid w:val="00223630"/>
    <w:rsid w:val="002244FC"/>
    <w:rsid w:val="00226B70"/>
    <w:rsid w:val="002307EB"/>
    <w:rsid w:val="00231099"/>
    <w:rsid w:val="002345F2"/>
    <w:rsid w:val="0023542C"/>
    <w:rsid w:val="00235A97"/>
    <w:rsid w:val="00236E61"/>
    <w:rsid w:val="00237A17"/>
    <w:rsid w:val="00240257"/>
    <w:rsid w:val="00241030"/>
    <w:rsid w:val="00242667"/>
    <w:rsid w:val="002434CD"/>
    <w:rsid w:val="002435FE"/>
    <w:rsid w:val="002446DA"/>
    <w:rsid w:val="002471F1"/>
    <w:rsid w:val="00247464"/>
    <w:rsid w:val="002474B6"/>
    <w:rsid w:val="00250B7A"/>
    <w:rsid w:val="00250F5C"/>
    <w:rsid w:val="00253055"/>
    <w:rsid w:val="002530EB"/>
    <w:rsid w:val="00254C59"/>
    <w:rsid w:val="0025689B"/>
    <w:rsid w:val="00260373"/>
    <w:rsid w:val="00261A70"/>
    <w:rsid w:val="00261C44"/>
    <w:rsid w:val="00261FAE"/>
    <w:rsid w:val="00263406"/>
    <w:rsid w:val="00266F3B"/>
    <w:rsid w:val="0027026A"/>
    <w:rsid w:val="00271994"/>
    <w:rsid w:val="0027393D"/>
    <w:rsid w:val="00274F4C"/>
    <w:rsid w:val="0027545D"/>
    <w:rsid w:val="002763C4"/>
    <w:rsid w:val="00277904"/>
    <w:rsid w:val="00277B23"/>
    <w:rsid w:val="00277DE7"/>
    <w:rsid w:val="00281658"/>
    <w:rsid w:val="0028418A"/>
    <w:rsid w:val="002863C3"/>
    <w:rsid w:val="00287A79"/>
    <w:rsid w:val="00290360"/>
    <w:rsid w:val="00291A39"/>
    <w:rsid w:val="002934D8"/>
    <w:rsid w:val="002951F7"/>
    <w:rsid w:val="00295E23"/>
    <w:rsid w:val="0029733B"/>
    <w:rsid w:val="00297386"/>
    <w:rsid w:val="0029784B"/>
    <w:rsid w:val="00297D00"/>
    <w:rsid w:val="00297E84"/>
    <w:rsid w:val="002A2639"/>
    <w:rsid w:val="002A4379"/>
    <w:rsid w:val="002A5BEA"/>
    <w:rsid w:val="002A69F7"/>
    <w:rsid w:val="002B0435"/>
    <w:rsid w:val="002B08FA"/>
    <w:rsid w:val="002B13D4"/>
    <w:rsid w:val="002B1E01"/>
    <w:rsid w:val="002B30BA"/>
    <w:rsid w:val="002B32FB"/>
    <w:rsid w:val="002B36CD"/>
    <w:rsid w:val="002B3AB6"/>
    <w:rsid w:val="002B6813"/>
    <w:rsid w:val="002B708D"/>
    <w:rsid w:val="002B7D82"/>
    <w:rsid w:val="002C0B49"/>
    <w:rsid w:val="002C2AE8"/>
    <w:rsid w:val="002C3F39"/>
    <w:rsid w:val="002C4081"/>
    <w:rsid w:val="002C559D"/>
    <w:rsid w:val="002C5F7F"/>
    <w:rsid w:val="002C68D4"/>
    <w:rsid w:val="002D00DD"/>
    <w:rsid w:val="002D0F5D"/>
    <w:rsid w:val="002D2B53"/>
    <w:rsid w:val="002D3190"/>
    <w:rsid w:val="002D3E87"/>
    <w:rsid w:val="002D4B8C"/>
    <w:rsid w:val="002D4C2B"/>
    <w:rsid w:val="002D56F3"/>
    <w:rsid w:val="002D699C"/>
    <w:rsid w:val="002E1A87"/>
    <w:rsid w:val="002E23C5"/>
    <w:rsid w:val="002E3BB5"/>
    <w:rsid w:val="002E49C2"/>
    <w:rsid w:val="002E5414"/>
    <w:rsid w:val="002E5E60"/>
    <w:rsid w:val="002E6C48"/>
    <w:rsid w:val="002E77B3"/>
    <w:rsid w:val="002E796A"/>
    <w:rsid w:val="002E7AFF"/>
    <w:rsid w:val="002F0D1F"/>
    <w:rsid w:val="002F1303"/>
    <w:rsid w:val="002F2168"/>
    <w:rsid w:val="002F25D2"/>
    <w:rsid w:val="002F387D"/>
    <w:rsid w:val="002F55EA"/>
    <w:rsid w:val="002F6A85"/>
    <w:rsid w:val="002F6E93"/>
    <w:rsid w:val="002F7D67"/>
    <w:rsid w:val="0030024C"/>
    <w:rsid w:val="00301B12"/>
    <w:rsid w:val="00303BC9"/>
    <w:rsid w:val="00303F4C"/>
    <w:rsid w:val="0030400E"/>
    <w:rsid w:val="00305B5C"/>
    <w:rsid w:val="00307DA3"/>
    <w:rsid w:val="00310269"/>
    <w:rsid w:val="00310FB0"/>
    <w:rsid w:val="003112F1"/>
    <w:rsid w:val="003138AE"/>
    <w:rsid w:val="00313A13"/>
    <w:rsid w:val="00313D16"/>
    <w:rsid w:val="00317EE3"/>
    <w:rsid w:val="00321EF3"/>
    <w:rsid w:val="00322107"/>
    <w:rsid w:val="003231C8"/>
    <w:rsid w:val="00323816"/>
    <w:rsid w:val="00323B35"/>
    <w:rsid w:val="003265FF"/>
    <w:rsid w:val="003266EB"/>
    <w:rsid w:val="00326B31"/>
    <w:rsid w:val="00330F06"/>
    <w:rsid w:val="003330CD"/>
    <w:rsid w:val="00334EDA"/>
    <w:rsid w:val="003352B1"/>
    <w:rsid w:val="00335BEE"/>
    <w:rsid w:val="00336182"/>
    <w:rsid w:val="00340C59"/>
    <w:rsid w:val="00341066"/>
    <w:rsid w:val="00343CEE"/>
    <w:rsid w:val="00344999"/>
    <w:rsid w:val="00344FA0"/>
    <w:rsid w:val="00346D28"/>
    <w:rsid w:val="00346EF2"/>
    <w:rsid w:val="0034755C"/>
    <w:rsid w:val="00351385"/>
    <w:rsid w:val="0035398C"/>
    <w:rsid w:val="003579CA"/>
    <w:rsid w:val="00360CFD"/>
    <w:rsid w:val="00360F23"/>
    <w:rsid w:val="00361AAF"/>
    <w:rsid w:val="00361F8C"/>
    <w:rsid w:val="0036289D"/>
    <w:rsid w:val="00364422"/>
    <w:rsid w:val="00365908"/>
    <w:rsid w:val="00366472"/>
    <w:rsid w:val="00367418"/>
    <w:rsid w:val="00367621"/>
    <w:rsid w:val="0037067A"/>
    <w:rsid w:val="00376659"/>
    <w:rsid w:val="003801E8"/>
    <w:rsid w:val="00381893"/>
    <w:rsid w:val="00382676"/>
    <w:rsid w:val="0038321E"/>
    <w:rsid w:val="003844C2"/>
    <w:rsid w:val="00384F86"/>
    <w:rsid w:val="00385675"/>
    <w:rsid w:val="003857A7"/>
    <w:rsid w:val="00385D0C"/>
    <w:rsid w:val="00390D1B"/>
    <w:rsid w:val="00392AB6"/>
    <w:rsid w:val="00393268"/>
    <w:rsid w:val="0039405B"/>
    <w:rsid w:val="00396A76"/>
    <w:rsid w:val="00396AD3"/>
    <w:rsid w:val="003A0E19"/>
    <w:rsid w:val="003A206E"/>
    <w:rsid w:val="003A36B3"/>
    <w:rsid w:val="003A5EE9"/>
    <w:rsid w:val="003A7C7E"/>
    <w:rsid w:val="003B0C15"/>
    <w:rsid w:val="003B127D"/>
    <w:rsid w:val="003B2DF5"/>
    <w:rsid w:val="003B40D5"/>
    <w:rsid w:val="003B68BE"/>
    <w:rsid w:val="003B69D0"/>
    <w:rsid w:val="003C0359"/>
    <w:rsid w:val="003C0705"/>
    <w:rsid w:val="003C0EBD"/>
    <w:rsid w:val="003C2671"/>
    <w:rsid w:val="003C4A6E"/>
    <w:rsid w:val="003C61A2"/>
    <w:rsid w:val="003C7A1F"/>
    <w:rsid w:val="003D2535"/>
    <w:rsid w:val="003D37CA"/>
    <w:rsid w:val="003D473F"/>
    <w:rsid w:val="003D5746"/>
    <w:rsid w:val="003D5D6C"/>
    <w:rsid w:val="003D63B5"/>
    <w:rsid w:val="003D6747"/>
    <w:rsid w:val="003D6999"/>
    <w:rsid w:val="003E000C"/>
    <w:rsid w:val="003E024E"/>
    <w:rsid w:val="003E30DB"/>
    <w:rsid w:val="003E33A4"/>
    <w:rsid w:val="003E352C"/>
    <w:rsid w:val="003E55BA"/>
    <w:rsid w:val="003E6A2C"/>
    <w:rsid w:val="003E6EF0"/>
    <w:rsid w:val="003F3BA6"/>
    <w:rsid w:val="003F4EC9"/>
    <w:rsid w:val="003F66E4"/>
    <w:rsid w:val="00401023"/>
    <w:rsid w:val="00401114"/>
    <w:rsid w:val="00403BCA"/>
    <w:rsid w:val="00405341"/>
    <w:rsid w:val="004055CF"/>
    <w:rsid w:val="00405962"/>
    <w:rsid w:val="00406618"/>
    <w:rsid w:val="00406A24"/>
    <w:rsid w:val="00406B00"/>
    <w:rsid w:val="00406EA2"/>
    <w:rsid w:val="00406F1D"/>
    <w:rsid w:val="004132F7"/>
    <w:rsid w:val="00413A99"/>
    <w:rsid w:val="00425437"/>
    <w:rsid w:val="0042709F"/>
    <w:rsid w:val="0043008E"/>
    <w:rsid w:val="00430263"/>
    <w:rsid w:val="00430789"/>
    <w:rsid w:val="00435EE7"/>
    <w:rsid w:val="00437AF6"/>
    <w:rsid w:val="00440861"/>
    <w:rsid w:val="00442277"/>
    <w:rsid w:val="00442938"/>
    <w:rsid w:val="0044330F"/>
    <w:rsid w:val="00443691"/>
    <w:rsid w:val="00443FC4"/>
    <w:rsid w:val="004450C9"/>
    <w:rsid w:val="00445880"/>
    <w:rsid w:val="00451D50"/>
    <w:rsid w:val="00453307"/>
    <w:rsid w:val="004533BD"/>
    <w:rsid w:val="00453A9E"/>
    <w:rsid w:val="004555A9"/>
    <w:rsid w:val="00455AFB"/>
    <w:rsid w:val="00457E56"/>
    <w:rsid w:val="00460060"/>
    <w:rsid w:val="00460BB4"/>
    <w:rsid w:val="00461D31"/>
    <w:rsid w:val="00461FB9"/>
    <w:rsid w:val="00462AB7"/>
    <w:rsid w:val="00463917"/>
    <w:rsid w:val="00463D7E"/>
    <w:rsid w:val="00463E8A"/>
    <w:rsid w:val="00464BAD"/>
    <w:rsid w:val="004663F1"/>
    <w:rsid w:val="004677A5"/>
    <w:rsid w:val="004677B2"/>
    <w:rsid w:val="00467F73"/>
    <w:rsid w:val="00471DAA"/>
    <w:rsid w:val="00473A96"/>
    <w:rsid w:val="00474157"/>
    <w:rsid w:val="00476329"/>
    <w:rsid w:val="00484290"/>
    <w:rsid w:val="0049024C"/>
    <w:rsid w:val="004914F0"/>
    <w:rsid w:val="00492982"/>
    <w:rsid w:val="004929D9"/>
    <w:rsid w:val="00496661"/>
    <w:rsid w:val="004975EB"/>
    <w:rsid w:val="00497A60"/>
    <w:rsid w:val="00497B73"/>
    <w:rsid w:val="004A22D5"/>
    <w:rsid w:val="004A23A0"/>
    <w:rsid w:val="004A2849"/>
    <w:rsid w:val="004A2A2A"/>
    <w:rsid w:val="004A52EF"/>
    <w:rsid w:val="004A6465"/>
    <w:rsid w:val="004A6FA2"/>
    <w:rsid w:val="004B0372"/>
    <w:rsid w:val="004B3FCF"/>
    <w:rsid w:val="004B4938"/>
    <w:rsid w:val="004B6A6B"/>
    <w:rsid w:val="004B6D29"/>
    <w:rsid w:val="004C11A3"/>
    <w:rsid w:val="004C1A25"/>
    <w:rsid w:val="004C2D91"/>
    <w:rsid w:val="004C3172"/>
    <w:rsid w:val="004C6B53"/>
    <w:rsid w:val="004C73BE"/>
    <w:rsid w:val="004D0FB7"/>
    <w:rsid w:val="004D27CA"/>
    <w:rsid w:val="004D2B2C"/>
    <w:rsid w:val="004D3D4C"/>
    <w:rsid w:val="004D45EE"/>
    <w:rsid w:val="004D4B49"/>
    <w:rsid w:val="004D6A4F"/>
    <w:rsid w:val="004E059B"/>
    <w:rsid w:val="004E42F6"/>
    <w:rsid w:val="004E43B6"/>
    <w:rsid w:val="004E4810"/>
    <w:rsid w:val="004E4A9D"/>
    <w:rsid w:val="004E4CCD"/>
    <w:rsid w:val="004E544B"/>
    <w:rsid w:val="004E5DED"/>
    <w:rsid w:val="004E70C7"/>
    <w:rsid w:val="004E745E"/>
    <w:rsid w:val="004E7C0F"/>
    <w:rsid w:val="004E7F68"/>
    <w:rsid w:val="004F1CA1"/>
    <w:rsid w:val="004F27D0"/>
    <w:rsid w:val="004F2983"/>
    <w:rsid w:val="004F3171"/>
    <w:rsid w:val="004F3FD1"/>
    <w:rsid w:val="004F4D6A"/>
    <w:rsid w:val="004F5A5A"/>
    <w:rsid w:val="004F5E8F"/>
    <w:rsid w:val="0050401E"/>
    <w:rsid w:val="00504D92"/>
    <w:rsid w:val="005055DB"/>
    <w:rsid w:val="00506721"/>
    <w:rsid w:val="00506EF2"/>
    <w:rsid w:val="00507667"/>
    <w:rsid w:val="0050775D"/>
    <w:rsid w:val="00507FAB"/>
    <w:rsid w:val="00510AFC"/>
    <w:rsid w:val="005122C1"/>
    <w:rsid w:val="00512C82"/>
    <w:rsid w:val="00512FC5"/>
    <w:rsid w:val="0051398B"/>
    <w:rsid w:val="0051401E"/>
    <w:rsid w:val="00514240"/>
    <w:rsid w:val="005151DF"/>
    <w:rsid w:val="00517195"/>
    <w:rsid w:val="005209A2"/>
    <w:rsid w:val="00520B9B"/>
    <w:rsid w:val="005211BE"/>
    <w:rsid w:val="005219CC"/>
    <w:rsid w:val="005222E4"/>
    <w:rsid w:val="00522354"/>
    <w:rsid w:val="00524B53"/>
    <w:rsid w:val="00526BF2"/>
    <w:rsid w:val="00527455"/>
    <w:rsid w:val="0053139A"/>
    <w:rsid w:val="00533BB1"/>
    <w:rsid w:val="00534539"/>
    <w:rsid w:val="005355CC"/>
    <w:rsid w:val="005364EE"/>
    <w:rsid w:val="00536837"/>
    <w:rsid w:val="00536838"/>
    <w:rsid w:val="00536A44"/>
    <w:rsid w:val="00536A9D"/>
    <w:rsid w:val="00537017"/>
    <w:rsid w:val="005372FE"/>
    <w:rsid w:val="00541670"/>
    <w:rsid w:val="00542F3D"/>
    <w:rsid w:val="0054442E"/>
    <w:rsid w:val="00550349"/>
    <w:rsid w:val="00550DD0"/>
    <w:rsid w:val="00553FC0"/>
    <w:rsid w:val="00554073"/>
    <w:rsid w:val="005560E4"/>
    <w:rsid w:val="0055656B"/>
    <w:rsid w:val="00557873"/>
    <w:rsid w:val="005600A3"/>
    <w:rsid w:val="00561228"/>
    <w:rsid w:val="00561937"/>
    <w:rsid w:val="00563199"/>
    <w:rsid w:val="00563FB2"/>
    <w:rsid w:val="005642DE"/>
    <w:rsid w:val="00570F1C"/>
    <w:rsid w:val="00574C8B"/>
    <w:rsid w:val="00574FE3"/>
    <w:rsid w:val="0057577D"/>
    <w:rsid w:val="00577162"/>
    <w:rsid w:val="005776F0"/>
    <w:rsid w:val="0058051B"/>
    <w:rsid w:val="00580FD4"/>
    <w:rsid w:val="00581CC6"/>
    <w:rsid w:val="00582FCF"/>
    <w:rsid w:val="0058318B"/>
    <w:rsid w:val="00584C73"/>
    <w:rsid w:val="00585063"/>
    <w:rsid w:val="0058518E"/>
    <w:rsid w:val="00585F41"/>
    <w:rsid w:val="00587972"/>
    <w:rsid w:val="005910ED"/>
    <w:rsid w:val="00594BAD"/>
    <w:rsid w:val="005950D1"/>
    <w:rsid w:val="005961E4"/>
    <w:rsid w:val="0059749C"/>
    <w:rsid w:val="005A0022"/>
    <w:rsid w:val="005A0BD6"/>
    <w:rsid w:val="005A115F"/>
    <w:rsid w:val="005A3565"/>
    <w:rsid w:val="005A4931"/>
    <w:rsid w:val="005A78ED"/>
    <w:rsid w:val="005A7E32"/>
    <w:rsid w:val="005B1025"/>
    <w:rsid w:val="005B4605"/>
    <w:rsid w:val="005C33A5"/>
    <w:rsid w:val="005C35B8"/>
    <w:rsid w:val="005C3DE9"/>
    <w:rsid w:val="005C4A1F"/>
    <w:rsid w:val="005C5303"/>
    <w:rsid w:val="005C5996"/>
    <w:rsid w:val="005C5EC2"/>
    <w:rsid w:val="005C798D"/>
    <w:rsid w:val="005D12A9"/>
    <w:rsid w:val="005D1A18"/>
    <w:rsid w:val="005D2D42"/>
    <w:rsid w:val="005D4289"/>
    <w:rsid w:val="005D5AA9"/>
    <w:rsid w:val="005D667A"/>
    <w:rsid w:val="005D6C6B"/>
    <w:rsid w:val="005E05A0"/>
    <w:rsid w:val="005E0FEF"/>
    <w:rsid w:val="005E33E1"/>
    <w:rsid w:val="005E4199"/>
    <w:rsid w:val="005E438A"/>
    <w:rsid w:val="005E543F"/>
    <w:rsid w:val="005E6373"/>
    <w:rsid w:val="005E726D"/>
    <w:rsid w:val="005F0C21"/>
    <w:rsid w:val="005F1F59"/>
    <w:rsid w:val="005F228A"/>
    <w:rsid w:val="005F3C04"/>
    <w:rsid w:val="005F5A85"/>
    <w:rsid w:val="005F5ABC"/>
    <w:rsid w:val="005F5BF8"/>
    <w:rsid w:val="005F5DC4"/>
    <w:rsid w:val="005F6FEF"/>
    <w:rsid w:val="005F7A53"/>
    <w:rsid w:val="00600A4F"/>
    <w:rsid w:val="006036CE"/>
    <w:rsid w:val="00605286"/>
    <w:rsid w:val="00605BDB"/>
    <w:rsid w:val="0060629E"/>
    <w:rsid w:val="00606B42"/>
    <w:rsid w:val="00606D19"/>
    <w:rsid w:val="00606E16"/>
    <w:rsid w:val="00607DC8"/>
    <w:rsid w:val="0061044E"/>
    <w:rsid w:val="00610C7F"/>
    <w:rsid w:val="00610E39"/>
    <w:rsid w:val="0061415C"/>
    <w:rsid w:val="0061719C"/>
    <w:rsid w:val="006172B7"/>
    <w:rsid w:val="00620832"/>
    <w:rsid w:val="00620FA5"/>
    <w:rsid w:val="00621111"/>
    <w:rsid w:val="006211F7"/>
    <w:rsid w:val="00621823"/>
    <w:rsid w:val="006221FB"/>
    <w:rsid w:val="00624031"/>
    <w:rsid w:val="00625975"/>
    <w:rsid w:val="00626329"/>
    <w:rsid w:val="00626548"/>
    <w:rsid w:val="006316DC"/>
    <w:rsid w:val="00631DC4"/>
    <w:rsid w:val="00633DBC"/>
    <w:rsid w:val="0063734B"/>
    <w:rsid w:val="00640B34"/>
    <w:rsid w:val="00641885"/>
    <w:rsid w:val="00643C42"/>
    <w:rsid w:val="00644CE3"/>
    <w:rsid w:val="0064676C"/>
    <w:rsid w:val="006468CB"/>
    <w:rsid w:val="006503DA"/>
    <w:rsid w:val="006523C1"/>
    <w:rsid w:val="00654039"/>
    <w:rsid w:val="006541F8"/>
    <w:rsid w:val="00654E4B"/>
    <w:rsid w:val="006550A0"/>
    <w:rsid w:val="006558C2"/>
    <w:rsid w:val="00655CDB"/>
    <w:rsid w:val="0065705A"/>
    <w:rsid w:val="006571D1"/>
    <w:rsid w:val="0065743D"/>
    <w:rsid w:val="006574DF"/>
    <w:rsid w:val="00661546"/>
    <w:rsid w:val="0066197A"/>
    <w:rsid w:val="00661EA1"/>
    <w:rsid w:val="0066334F"/>
    <w:rsid w:val="0066363C"/>
    <w:rsid w:val="0066385C"/>
    <w:rsid w:val="00664541"/>
    <w:rsid w:val="006645E0"/>
    <w:rsid w:val="006703A0"/>
    <w:rsid w:val="00671330"/>
    <w:rsid w:val="00673058"/>
    <w:rsid w:val="00674CDD"/>
    <w:rsid w:val="006757D6"/>
    <w:rsid w:val="006814A2"/>
    <w:rsid w:val="00683B49"/>
    <w:rsid w:val="00687488"/>
    <w:rsid w:val="00690AEA"/>
    <w:rsid w:val="00690DCA"/>
    <w:rsid w:val="0069638E"/>
    <w:rsid w:val="006A3141"/>
    <w:rsid w:val="006A4176"/>
    <w:rsid w:val="006A5466"/>
    <w:rsid w:val="006A6295"/>
    <w:rsid w:val="006A6E32"/>
    <w:rsid w:val="006B0CFC"/>
    <w:rsid w:val="006B147B"/>
    <w:rsid w:val="006B1C2D"/>
    <w:rsid w:val="006B232A"/>
    <w:rsid w:val="006B3AD8"/>
    <w:rsid w:val="006B3E88"/>
    <w:rsid w:val="006B4DB8"/>
    <w:rsid w:val="006B5968"/>
    <w:rsid w:val="006B5FAE"/>
    <w:rsid w:val="006B7094"/>
    <w:rsid w:val="006B73CB"/>
    <w:rsid w:val="006B75F2"/>
    <w:rsid w:val="006B791D"/>
    <w:rsid w:val="006C0884"/>
    <w:rsid w:val="006C3E34"/>
    <w:rsid w:val="006C591A"/>
    <w:rsid w:val="006C5B32"/>
    <w:rsid w:val="006C627C"/>
    <w:rsid w:val="006C6A9B"/>
    <w:rsid w:val="006D02C8"/>
    <w:rsid w:val="006D0D78"/>
    <w:rsid w:val="006D3096"/>
    <w:rsid w:val="006D4398"/>
    <w:rsid w:val="006D4662"/>
    <w:rsid w:val="006D5A58"/>
    <w:rsid w:val="006D5D27"/>
    <w:rsid w:val="006D6C71"/>
    <w:rsid w:val="006D7008"/>
    <w:rsid w:val="006D71DF"/>
    <w:rsid w:val="006D7224"/>
    <w:rsid w:val="006D79AC"/>
    <w:rsid w:val="006E0497"/>
    <w:rsid w:val="006E076E"/>
    <w:rsid w:val="006E0B08"/>
    <w:rsid w:val="006E0DFF"/>
    <w:rsid w:val="006E152E"/>
    <w:rsid w:val="006E414B"/>
    <w:rsid w:val="006F0544"/>
    <w:rsid w:val="006F0A55"/>
    <w:rsid w:val="006F454F"/>
    <w:rsid w:val="006F7677"/>
    <w:rsid w:val="00700322"/>
    <w:rsid w:val="00704B8B"/>
    <w:rsid w:val="00704BAA"/>
    <w:rsid w:val="00704CF9"/>
    <w:rsid w:val="00705607"/>
    <w:rsid w:val="007064E7"/>
    <w:rsid w:val="007067C4"/>
    <w:rsid w:val="00707250"/>
    <w:rsid w:val="0071097E"/>
    <w:rsid w:val="00710D5D"/>
    <w:rsid w:val="007118AE"/>
    <w:rsid w:val="00711A98"/>
    <w:rsid w:val="007131D9"/>
    <w:rsid w:val="0071360C"/>
    <w:rsid w:val="00713685"/>
    <w:rsid w:val="00715AE1"/>
    <w:rsid w:val="00715FA0"/>
    <w:rsid w:val="0071662F"/>
    <w:rsid w:val="00720448"/>
    <w:rsid w:val="00721764"/>
    <w:rsid w:val="00721AF5"/>
    <w:rsid w:val="00721C31"/>
    <w:rsid w:val="007223AB"/>
    <w:rsid w:val="00722622"/>
    <w:rsid w:val="00722B1D"/>
    <w:rsid w:val="00722E21"/>
    <w:rsid w:val="007260F5"/>
    <w:rsid w:val="00726127"/>
    <w:rsid w:val="00726196"/>
    <w:rsid w:val="00727339"/>
    <w:rsid w:val="0073070F"/>
    <w:rsid w:val="00730CFB"/>
    <w:rsid w:val="007316FF"/>
    <w:rsid w:val="00731704"/>
    <w:rsid w:val="00731947"/>
    <w:rsid w:val="0073323E"/>
    <w:rsid w:val="00734435"/>
    <w:rsid w:val="007431D4"/>
    <w:rsid w:val="0074332D"/>
    <w:rsid w:val="00743425"/>
    <w:rsid w:val="00744553"/>
    <w:rsid w:val="00745C73"/>
    <w:rsid w:val="00747CC5"/>
    <w:rsid w:val="0075251A"/>
    <w:rsid w:val="007531C9"/>
    <w:rsid w:val="0075425F"/>
    <w:rsid w:val="00757B98"/>
    <w:rsid w:val="00761796"/>
    <w:rsid w:val="0076242B"/>
    <w:rsid w:val="00762AD6"/>
    <w:rsid w:val="00764D21"/>
    <w:rsid w:val="00765A0B"/>
    <w:rsid w:val="0076600A"/>
    <w:rsid w:val="0076646E"/>
    <w:rsid w:val="00767189"/>
    <w:rsid w:val="0076794A"/>
    <w:rsid w:val="00770560"/>
    <w:rsid w:val="00770909"/>
    <w:rsid w:val="00770C7F"/>
    <w:rsid w:val="0077316B"/>
    <w:rsid w:val="00774723"/>
    <w:rsid w:val="00775DC7"/>
    <w:rsid w:val="0077609B"/>
    <w:rsid w:val="007770DC"/>
    <w:rsid w:val="00780A39"/>
    <w:rsid w:val="007821B4"/>
    <w:rsid w:val="0078281D"/>
    <w:rsid w:val="007834FE"/>
    <w:rsid w:val="00783536"/>
    <w:rsid w:val="0078366F"/>
    <w:rsid w:val="00783DD6"/>
    <w:rsid w:val="007843B5"/>
    <w:rsid w:val="007845CE"/>
    <w:rsid w:val="007915E7"/>
    <w:rsid w:val="00792D49"/>
    <w:rsid w:val="00795498"/>
    <w:rsid w:val="007959E5"/>
    <w:rsid w:val="007A0022"/>
    <w:rsid w:val="007A113F"/>
    <w:rsid w:val="007A1BA2"/>
    <w:rsid w:val="007A2138"/>
    <w:rsid w:val="007A2623"/>
    <w:rsid w:val="007A59AA"/>
    <w:rsid w:val="007A72F7"/>
    <w:rsid w:val="007A7356"/>
    <w:rsid w:val="007A77FA"/>
    <w:rsid w:val="007B2495"/>
    <w:rsid w:val="007B281F"/>
    <w:rsid w:val="007B3028"/>
    <w:rsid w:val="007B3A60"/>
    <w:rsid w:val="007B4CA6"/>
    <w:rsid w:val="007B5122"/>
    <w:rsid w:val="007B5296"/>
    <w:rsid w:val="007B7691"/>
    <w:rsid w:val="007B7FC6"/>
    <w:rsid w:val="007C0033"/>
    <w:rsid w:val="007C2151"/>
    <w:rsid w:val="007C4669"/>
    <w:rsid w:val="007C4D18"/>
    <w:rsid w:val="007C4F0D"/>
    <w:rsid w:val="007C5280"/>
    <w:rsid w:val="007C5DD6"/>
    <w:rsid w:val="007C6C20"/>
    <w:rsid w:val="007D19BC"/>
    <w:rsid w:val="007D26C0"/>
    <w:rsid w:val="007D4521"/>
    <w:rsid w:val="007D569D"/>
    <w:rsid w:val="007E4071"/>
    <w:rsid w:val="007E576E"/>
    <w:rsid w:val="007E61AE"/>
    <w:rsid w:val="007E67D1"/>
    <w:rsid w:val="007E6C54"/>
    <w:rsid w:val="007E71FD"/>
    <w:rsid w:val="007F2122"/>
    <w:rsid w:val="007F3C73"/>
    <w:rsid w:val="007F4EFA"/>
    <w:rsid w:val="007F5DA8"/>
    <w:rsid w:val="0080008D"/>
    <w:rsid w:val="00801125"/>
    <w:rsid w:val="00801142"/>
    <w:rsid w:val="008021DA"/>
    <w:rsid w:val="00802477"/>
    <w:rsid w:val="008035C4"/>
    <w:rsid w:val="008077A7"/>
    <w:rsid w:val="00811DE4"/>
    <w:rsid w:val="00812BB1"/>
    <w:rsid w:val="00813DDC"/>
    <w:rsid w:val="008140C2"/>
    <w:rsid w:val="0081443A"/>
    <w:rsid w:val="00814BC9"/>
    <w:rsid w:val="00815388"/>
    <w:rsid w:val="008163EE"/>
    <w:rsid w:val="00820682"/>
    <w:rsid w:val="008252A4"/>
    <w:rsid w:val="00825729"/>
    <w:rsid w:val="00827AE4"/>
    <w:rsid w:val="00832703"/>
    <w:rsid w:val="00835E67"/>
    <w:rsid w:val="008367B6"/>
    <w:rsid w:val="00836C86"/>
    <w:rsid w:val="00837085"/>
    <w:rsid w:val="008400CC"/>
    <w:rsid w:val="00842D7B"/>
    <w:rsid w:val="00843032"/>
    <w:rsid w:val="00844729"/>
    <w:rsid w:val="0084520B"/>
    <w:rsid w:val="00845350"/>
    <w:rsid w:val="00845855"/>
    <w:rsid w:val="00846434"/>
    <w:rsid w:val="008509AF"/>
    <w:rsid w:val="00852992"/>
    <w:rsid w:val="00853200"/>
    <w:rsid w:val="00853BF8"/>
    <w:rsid w:val="00854B19"/>
    <w:rsid w:val="008553F0"/>
    <w:rsid w:val="00856525"/>
    <w:rsid w:val="0085755A"/>
    <w:rsid w:val="0086093E"/>
    <w:rsid w:val="00861BDD"/>
    <w:rsid w:val="00862E1A"/>
    <w:rsid w:val="00864A62"/>
    <w:rsid w:val="00865444"/>
    <w:rsid w:val="008655CD"/>
    <w:rsid w:val="00865D9B"/>
    <w:rsid w:val="0086637A"/>
    <w:rsid w:val="00866881"/>
    <w:rsid w:val="0086695B"/>
    <w:rsid w:val="00867B2D"/>
    <w:rsid w:val="00867FF5"/>
    <w:rsid w:val="008700B3"/>
    <w:rsid w:val="008705DD"/>
    <w:rsid w:val="00870AA8"/>
    <w:rsid w:val="00870B85"/>
    <w:rsid w:val="00870C75"/>
    <w:rsid w:val="00871B5E"/>
    <w:rsid w:val="008722CA"/>
    <w:rsid w:val="00874762"/>
    <w:rsid w:val="0087498E"/>
    <w:rsid w:val="00874D63"/>
    <w:rsid w:val="00874EA5"/>
    <w:rsid w:val="00876402"/>
    <w:rsid w:val="00877B0E"/>
    <w:rsid w:val="008816AB"/>
    <w:rsid w:val="00881CFF"/>
    <w:rsid w:val="00882A11"/>
    <w:rsid w:val="00883E9F"/>
    <w:rsid w:val="00885530"/>
    <w:rsid w:val="008856E6"/>
    <w:rsid w:val="008859A4"/>
    <w:rsid w:val="00887077"/>
    <w:rsid w:val="00887592"/>
    <w:rsid w:val="00887BD2"/>
    <w:rsid w:val="00890154"/>
    <w:rsid w:val="00890909"/>
    <w:rsid w:val="0089363F"/>
    <w:rsid w:val="008938EC"/>
    <w:rsid w:val="00894D56"/>
    <w:rsid w:val="008960C6"/>
    <w:rsid w:val="00896586"/>
    <w:rsid w:val="00896F9E"/>
    <w:rsid w:val="008971AA"/>
    <w:rsid w:val="00897335"/>
    <w:rsid w:val="00897497"/>
    <w:rsid w:val="008A00EF"/>
    <w:rsid w:val="008A09F2"/>
    <w:rsid w:val="008A1414"/>
    <w:rsid w:val="008A32BA"/>
    <w:rsid w:val="008A6054"/>
    <w:rsid w:val="008A6D77"/>
    <w:rsid w:val="008A7901"/>
    <w:rsid w:val="008B07CC"/>
    <w:rsid w:val="008B0C2B"/>
    <w:rsid w:val="008B4307"/>
    <w:rsid w:val="008B5446"/>
    <w:rsid w:val="008B5817"/>
    <w:rsid w:val="008B6547"/>
    <w:rsid w:val="008B7370"/>
    <w:rsid w:val="008C1E2A"/>
    <w:rsid w:val="008C4586"/>
    <w:rsid w:val="008C5C2D"/>
    <w:rsid w:val="008C633C"/>
    <w:rsid w:val="008C7780"/>
    <w:rsid w:val="008D01E7"/>
    <w:rsid w:val="008D03C1"/>
    <w:rsid w:val="008D12F8"/>
    <w:rsid w:val="008D3EFE"/>
    <w:rsid w:val="008D463A"/>
    <w:rsid w:val="008D5CEB"/>
    <w:rsid w:val="008E12F6"/>
    <w:rsid w:val="008E284D"/>
    <w:rsid w:val="008E4AF4"/>
    <w:rsid w:val="008E7B5D"/>
    <w:rsid w:val="008F008F"/>
    <w:rsid w:val="008F0F0E"/>
    <w:rsid w:val="008F33CB"/>
    <w:rsid w:val="008F3CE7"/>
    <w:rsid w:val="008F56FA"/>
    <w:rsid w:val="008F670A"/>
    <w:rsid w:val="008F7F7A"/>
    <w:rsid w:val="00900170"/>
    <w:rsid w:val="0090754E"/>
    <w:rsid w:val="0090775C"/>
    <w:rsid w:val="00910A71"/>
    <w:rsid w:val="00910AD3"/>
    <w:rsid w:val="00910D2D"/>
    <w:rsid w:val="0091214A"/>
    <w:rsid w:val="0091347F"/>
    <w:rsid w:val="00914C61"/>
    <w:rsid w:val="00915157"/>
    <w:rsid w:val="00916717"/>
    <w:rsid w:val="00920466"/>
    <w:rsid w:val="00920B2C"/>
    <w:rsid w:val="00920EBE"/>
    <w:rsid w:val="00920F68"/>
    <w:rsid w:val="00921E43"/>
    <w:rsid w:val="00922598"/>
    <w:rsid w:val="009227AC"/>
    <w:rsid w:val="00924446"/>
    <w:rsid w:val="00924635"/>
    <w:rsid w:val="00924F95"/>
    <w:rsid w:val="00925304"/>
    <w:rsid w:val="00925B41"/>
    <w:rsid w:val="009272DD"/>
    <w:rsid w:val="00931171"/>
    <w:rsid w:val="00931AC0"/>
    <w:rsid w:val="00932F57"/>
    <w:rsid w:val="00935658"/>
    <w:rsid w:val="0093597D"/>
    <w:rsid w:val="00937CCA"/>
    <w:rsid w:val="0094076A"/>
    <w:rsid w:val="00941DD1"/>
    <w:rsid w:val="0094301E"/>
    <w:rsid w:val="00944151"/>
    <w:rsid w:val="009472ED"/>
    <w:rsid w:val="00953967"/>
    <w:rsid w:val="009557C5"/>
    <w:rsid w:val="00956D38"/>
    <w:rsid w:val="009601F0"/>
    <w:rsid w:val="0096115C"/>
    <w:rsid w:val="009619F9"/>
    <w:rsid w:val="009630B9"/>
    <w:rsid w:val="009655D1"/>
    <w:rsid w:val="0097003C"/>
    <w:rsid w:val="009724D4"/>
    <w:rsid w:val="00972DFA"/>
    <w:rsid w:val="0097331F"/>
    <w:rsid w:val="00974D23"/>
    <w:rsid w:val="00975C3C"/>
    <w:rsid w:val="00976633"/>
    <w:rsid w:val="00977005"/>
    <w:rsid w:val="00977CE4"/>
    <w:rsid w:val="00981250"/>
    <w:rsid w:val="00981E64"/>
    <w:rsid w:val="00984268"/>
    <w:rsid w:val="00984759"/>
    <w:rsid w:val="00985E48"/>
    <w:rsid w:val="00990225"/>
    <w:rsid w:val="00991AB1"/>
    <w:rsid w:val="00991BA9"/>
    <w:rsid w:val="009924FA"/>
    <w:rsid w:val="009932A8"/>
    <w:rsid w:val="0099371D"/>
    <w:rsid w:val="009943DC"/>
    <w:rsid w:val="0099482B"/>
    <w:rsid w:val="0099579B"/>
    <w:rsid w:val="009963A1"/>
    <w:rsid w:val="00996453"/>
    <w:rsid w:val="00996D4F"/>
    <w:rsid w:val="00996DE2"/>
    <w:rsid w:val="0099730B"/>
    <w:rsid w:val="00997621"/>
    <w:rsid w:val="009976F2"/>
    <w:rsid w:val="009A1C2E"/>
    <w:rsid w:val="009A1C8C"/>
    <w:rsid w:val="009A2656"/>
    <w:rsid w:val="009A2B2C"/>
    <w:rsid w:val="009A34B9"/>
    <w:rsid w:val="009A3616"/>
    <w:rsid w:val="009A6B3A"/>
    <w:rsid w:val="009A6DF6"/>
    <w:rsid w:val="009B0656"/>
    <w:rsid w:val="009B0C28"/>
    <w:rsid w:val="009B0EBF"/>
    <w:rsid w:val="009B4289"/>
    <w:rsid w:val="009B47B0"/>
    <w:rsid w:val="009B57F4"/>
    <w:rsid w:val="009B6D66"/>
    <w:rsid w:val="009B71B2"/>
    <w:rsid w:val="009C011E"/>
    <w:rsid w:val="009C0F70"/>
    <w:rsid w:val="009C1007"/>
    <w:rsid w:val="009C1114"/>
    <w:rsid w:val="009C3538"/>
    <w:rsid w:val="009C460A"/>
    <w:rsid w:val="009C670B"/>
    <w:rsid w:val="009C68E5"/>
    <w:rsid w:val="009C6CE5"/>
    <w:rsid w:val="009C7D3B"/>
    <w:rsid w:val="009D1BD2"/>
    <w:rsid w:val="009D1C14"/>
    <w:rsid w:val="009D3048"/>
    <w:rsid w:val="009D30DE"/>
    <w:rsid w:val="009D456B"/>
    <w:rsid w:val="009D5244"/>
    <w:rsid w:val="009D5863"/>
    <w:rsid w:val="009E00F5"/>
    <w:rsid w:val="009E0CBD"/>
    <w:rsid w:val="009E1A12"/>
    <w:rsid w:val="009E2BC7"/>
    <w:rsid w:val="009E61A0"/>
    <w:rsid w:val="009E6AE3"/>
    <w:rsid w:val="009E7230"/>
    <w:rsid w:val="009E7E2C"/>
    <w:rsid w:val="009F041A"/>
    <w:rsid w:val="009F0A68"/>
    <w:rsid w:val="009F132E"/>
    <w:rsid w:val="009F1C18"/>
    <w:rsid w:val="009F2ED1"/>
    <w:rsid w:val="009F352C"/>
    <w:rsid w:val="009F3880"/>
    <w:rsid w:val="009F5B88"/>
    <w:rsid w:val="009F5E3D"/>
    <w:rsid w:val="009F60BA"/>
    <w:rsid w:val="009F7688"/>
    <w:rsid w:val="00A01B72"/>
    <w:rsid w:val="00A01B8F"/>
    <w:rsid w:val="00A0409C"/>
    <w:rsid w:val="00A04933"/>
    <w:rsid w:val="00A053C7"/>
    <w:rsid w:val="00A0645E"/>
    <w:rsid w:val="00A07EB5"/>
    <w:rsid w:val="00A10A19"/>
    <w:rsid w:val="00A10E20"/>
    <w:rsid w:val="00A10ED2"/>
    <w:rsid w:val="00A112EB"/>
    <w:rsid w:val="00A114BB"/>
    <w:rsid w:val="00A129AA"/>
    <w:rsid w:val="00A12A2F"/>
    <w:rsid w:val="00A15617"/>
    <w:rsid w:val="00A15B74"/>
    <w:rsid w:val="00A15FE9"/>
    <w:rsid w:val="00A16843"/>
    <w:rsid w:val="00A1710F"/>
    <w:rsid w:val="00A177D7"/>
    <w:rsid w:val="00A17E97"/>
    <w:rsid w:val="00A222B6"/>
    <w:rsid w:val="00A22E30"/>
    <w:rsid w:val="00A2334C"/>
    <w:rsid w:val="00A24745"/>
    <w:rsid w:val="00A25906"/>
    <w:rsid w:val="00A25F83"/>
    <w:rsid w:val="00A264A2"/>
    <w:rsid w:val="00A279FC"/>
    <w:rsid w:val="00A32819"/>
    <w:rsid w:val="00A32D93"/>
    <w:rsid w:val="00A374BB"/>
    <w:rsid w:val="00A45AF0"/>
    <w:rsid w:val="00A45F32"/>
    <w:rsid w:val="00A53E5C"/>
    <w:rsid w:val="00A54479"/>
    <w:rsid w:val="00A54B3E"/>
    <w:rsid w:val="00A60699"/>
    <w:rsid w:val="00A61844"/>
    <w:rsid w:val="00A61E22"/>
    <w:rsid w:val="00A63B1E"/>
    <w:rsid w:val="00A6444C"/>
    <w:rsid w:val="00A64560"/>
    <w:rsid w:val="00A65341"/>
    <w:rsid w:val="00A65486"/>
    <w:rsid w:val="00A668E2"/>
    <w:rsid w:val="00A70A5E"/>
    <w:rsid w:val="00A80B14"/>
    <w:rsid w:val="00A8122E"/>
    <w:rsid w:val="00A8177A"/>
    <w:rsid w:val="00A82499"/>
    <w:rsid w:val="00A86360"/>
    <w:rsid w:val="00A86943"/>
    <w:rsid w:val="00A8793B"/>
    <w:rsid w:val="00A90EA3"/>
    <w:rsid w:val="00A90EEC"/>
    <w:rsid w:val="00A91A22"/>
    <w:rsid w:val="00A9285B"/>
    <w:rsid w:val="00A929A7"/>
    <w:rsid w:val="00A93D39"/>
    <w:rsid w:val="00A966F8"/>
    <w:rsid w:val="00A976BC"/>
    <w:rsid w:val="00AA00EB"/>
    <w:rsid w:val="00AA07DD"/>
    <w:rsid w:val="00AA141C"/>
    <w:rsid w:val="00AA28A7"/>
    <w:rsid w:val="00AA2A30"/>
    <w:rsid w:val="00AA2C66"/>
    <w:rsid w:val="00AA3B1B"/>
    <w:rsid w:val="00AA49B7"/>
    <w:rsid w:val="00AA4CC8"/>
    <w:rsid w:val="00AA598C"/>
    <w:rsid w:val="00AA62C6"/>
    <w:rsid w:val="00AA632F"/>
    <w:rsid w:val="00AA7303"/>
    <w:rsid w:val="00AB004C"/>
    <w:rsid w:val="00AB0B61"/>
    <w:rsid w:val="00AB1A7B"/>
    <w:rsid w:val="00AB26CA"/>
    <w:rsid w:val="00AB2F05"/>
    <w:rsid w:val="00AB365E"/>
    <w:rsid w:val="00AB3D54"/>
    <w:rsid w:val="00AB4073"/>
    <w:rsid w:val="00AB480F"/>
    <w:rsid w:val="00AB555C"/>
    <w:rsid w:val="00AB704D"/>
    <w:rsid w:val="00AC0558"/>
    <w:rsid w:val="00AC0F4A"/>
    <w:rsid w:val="00AC2DE9"/>
    <w:rsid w:val="00AC378E"/>
    <w:rsid w:val="00AC7238"/>
    <w:rsid w:val="00AC7AF4"/>
    <w:rsid w:val="00AC7C54"/>
    <w:rsid w:val="00AD0877"/>
    <w:rsid w:val="00AD4356"/>
    <w:rsid w:val="00AD6000"/>
    <w:rsid w:val="00AD6496"/>
    <w:rsid w:val="00AD68A7"/>
    <w:rsid w:val="00AE04BE"/>
    <w:rsid w:val="00AE18CF"/>
    <w:rsid w:val="00AE2722"/>
    <w:rsid w:val="00AE283A"/>
    <w:rsid w:val="00AE4E07"/>
    <w:rsid w:val="00AE5878"/>
    <w:rsid w:val="00AE68AE"/>
    <w:rsid w:val="00AE6F39"/>
    <w:rsid w:val="00AF1215"/>
    <w:rsid w:val="00AF13DA"/>
    <w:rsid w:val="00AF1B3C"/>
    <w:rsid w:val="00AF344B"/>
    <w:rsid w:val="00AF77E9"/>
    <w:rsid w:val="00AF787F"/>
    <w:rsid w:val="00AF7E82"/>
    <w:rsid w:val="00B04A88"/>
    <w:rsid w:val="00B057C2"/>
    <w:rsid w:val="00B05915"/>
    <w:rsid w:val="00B073F0"/>
    <w:rsid w:val="00B07AB8"/>
    <w:rsid w:val="00B07FF0"/>
    <w:rsid w:val="00B108C2"/>
    <w:rsid w:val="00B110D8"/>
    <w:rsid w:val="00B169AF"/>
    <w:rsid w:val="00B17364"/>
    <w:rsid w:val="00B17651"/>
    <w:rsid w:val="00B17B33"/>
    <w:rsid w:val="00B22447"/>
    <w:rsid w:val="00B2435B"/>
    <w:rsid w:val="00B24501"/>
    <w:rsid w:val="00B24975"/>
    <w:rsid w:val="00B25C16"/>
    <w:rsid w:val="00B3011D"/>
    <w:rsid w:val="00B32885"/>
    <w:rsid w:val="00B32D2A"/>
    <w:rsid w:val="00B32DC4"/>
    <w:rsid w:val="00B33D3C"/>
    <w:rsid w:val="00B343F3"/>
    <w:rsid w:val="00B34656"/>
    <w:rsid w:val="00B34C45"/>
    <w:rsid w:val="00B36C97"/>
    <w:rsid w:val="00B36E14"/>
    <w:rsid w:val="00B4033E"/>
    <w:rsid w:val="00B404AF"/>
    <w:rsid w:val="00B44A5E"/>
    <w:rsid w:val="00B45112"/>
    <w:rsid w:val="00B4698A"/>
    <w:rsid w:val="00B47CAB"/>
    <w:rsid w:val="00B510F1"/>
    <w:rsid w:val="00B517E2"/>
    <w:rsid w:val="00B53A1A"/>
    <w:rsid w:val="00B57811"/>
    <w:rsid w:val="00B61567"/>
    <w:rsid w:val="00B61B38"/>
    <w:rsid w:val="00B61E18"/>
    <w:rsid w:val="00B621D8"/>
    <w:rsid w:val="00B65E31"/>
    <w:rsid w:val="00B67373"/>
    <w:rsid w:val="00B675BB"/>
    <w:rsid w:val="00B679C0"/>
    <w:rsid w:val="00B71159"/>
    <w:rsid w:val="00B71267"/>
    <w:rsid w:val="00B72721"/>
    <w:rsid w:val="00B72A88"/>
    <w:rsid w:val="00B7424D"/>
    <w:rsid w:val="00B74DAC"/>
    <w:rsid w:val="00B7508D"/>
    <w:rsid w:val="00B7572F"/>
    <w:rsid w:val="00B75BA8"/>
    <w:rsid w:val="00B76675"/>
    <w:rsid w:val="00B7751E"/>
    <w:rsid w:val="00B83EFC"/>
    <w:rsid w:val="00B84738"/>
    <w:rsid w:val="00B85414"/>
    <w:rsid w:val="00B85A27"/>
    <w:rsid w:val="00B9268E"/>
    <w:rsid w:val="00B928C8"/>
    <w:rsid w:val="00B93A83"/>
    <w:rsid w:val="00B94716"/>
    <w:rsid w:val="00B95547"/>
    <w:rsid w:val="00B95951"/>
    <w:rsid w:val="00B967C3"/>
    <w:rsid w:val="00B973F2"/>
    <w:rsid w:val="00BA0159"/>
    <w:rsid w:val="00BA0D64"/>
    <w:rsid w:val="00BA12AA"/>
    <w:rsid w:val="00BA4F61"/>
    <w:rsid w:val="00BA57C8"/>
    <w:rsid w:val="00BA5CF4"/>
    <w:rsid w:val="00BA6A59"/>
    <w:rsid w:val="00BB1872"/>
    <w:rsid w:val="00BB25D9"/>
    <w:rsid w:val="00BB36C3"/>
    <w:rsid w:val="00BB4280"/>
    <w:rsid w:val="00BB45E7"/>
    <w:rsid w:val="00BB5042"/>
    <w:rsid w:val="00BB6902"/>
    <w:rsid w:val="00BB7020"/>
    <w:rsid w:val="00BB76FD"/>
    <w:rsid w:val="00BC0DA4"/>
    <w:rsid w:val="00BC1076"/>
    <w:rsid w:val="00BC146D"/>
    <w:rsid w:val="00BC1D48"/>
    <w:rsid w:val="00BC380F"/>
    <w:rsid w:val="00BC4A06"/>
    <w:rsid w:val="00BC7049"/>
    <w:rsid w:val="00BC7159"/>
    <w:rsid w:val="00BC72AE"/>
    <w:rsid w:val="00BC7818"/>
    <w:rsid w:val="00BD0316"/>
    <w:rsid w:val="00BD0933"/>
    <w:rsid w:val="00BD13B4"/>
    <w:rsid w:val="00BD352C"/>
    <w:rsid w:val="00BD37E8"/>
    <w:rsid w:val="00BD3DB5"/>
    <w:rsid w:val="00BD470B"/>
    <w:rsid w:val="00BD4A9B"/>
    <w:rsid w:val="00BD66EB"/>
    <w:rsid w:val="00BE0F49"/>
    <w:rsid w:val="00BE10F9"/>
    <w:rsid w:val="00BE1DC1"/>
    <w:rsid w:val="00BE374F"/>
    <w:rsid w:val="00BE3EAC"/>
    <w:rsid w:val="00BE7E3D"/>
    <w:rsid w:val="00BF044D"/>
    <w:rsid w:val="00BF1833"/>
    <w:rsid w:val="00BF2A3D"/>
    <w:rsid w:val="00BF2AC7"/>
    <w:rsid w:val="00BF2EA8"/>
    <w:rsid w:val="00BF3177"/>
    <w:rsid w:val="00BF400F"/>
    <w:rsid w:val="00BF464D"/>
    <w:rsid w:val="00BF4BFE"/>
    <w:rsid w:val="00BF6E08"/>
    <w:rsid w:val="00C00B31"/>
    <w:rsid w:val="00C01FE9"/>
    <w:rsid w:val="00C034F4"/>
    <w:rsid w:val="00C03C9D"/>
    <w:rsid w:val="00C04CAD"/>
    <w:rsid w:val="00C06A53"/>
    <w:rsid w:val="00C07529"/>
    <w:rsid w:val="00C07A48"/>
    <w:rsid w:val="00C10551"/>
    <w:rsid w:val="00C10E39"/>
    <w:rsid w:val="00C1182B"/>
    <w:rsid w:val="00C11BC5"/>
    <w:rsid w:val="00C1487A"/>
    <w:rsid w:val="00C153FC"/>
    <w:rsid w:val="00C15AB7"/>
    <w:rsid w:val="00C167CC"/>
    <w:rsid w:val="00C16847"/>
    <w:rsid w:val="00C2011E"/>
    <w:rsid w:val="00C2193D"/>
    <w:rsid w:val="00C226D3"/>
    <w:rsid w:val="00C24802"/>
    <w:rsid w:val="00C248FF"/>
    <w:rsid w:val="00C26286"/>
    <w:rsid w:val="00C2736F"/>
    <w:rsid w:val="00C30751"/>
    <w:rsid w:val="00C30B2D"/>
    <w:rsid w:val="00C32130"/>
    <w:rsid w:val="00C364F1"/>
    <w:rsid w:val="00C43035"/>
    <w:rsid w:val="00C43687"/>
    <w:rsid w:val="00C43823"/>
    <w:rsid w:val="00C44CAE"/>
    <w:rsid w:val="00C50A31"/>
    <w:rsid w:val="00C50D59"/>
    <w:rsid w:val="00C5124B"/>
    <w:rsid w:val="00C51A58"/>
    <w:rsid w:val="00C51B64"/>
    <w:rsid w:val="00C52472"/>
    <w:rsid w:val="00C5528C"/>
    <w:rsid w:val="00C55D7E"/>
    <w:rsid w:val="00C56077"/>
    <w:rsid w:val="00C56753"/>
    <w:rsid w:val="00C56D42"/>
    <w:rsid w:val="00C608BB"/>
    <w:rsid w:val="00C641E3"/>
    <w:rsid w:val="00C64F3A"/>
    <w:rsid w:val="00C664A1"/>
    <w:rsid w:val="00C6683A"/>
    <w:rsid w:val="00C70A11"/>
    <w:rsid w:val="00C7188F"/>
    <w:rsid w:val="00C71BC6"/>
    <w:rsid w:val="00C71E1A"/>
    <w:rsid w:val="00C77511"/>
    <w:rsid w:val="00C807C0"/>
    <w:rsid w:val="00C807E5"/>
    <w:rsid w:val="00C80E1F"/>
    <w:rsid w:val="00C8193B"/>
    <w:rsid w:val="00C822F9"/>
    <w:rsid w:val="00C82E4F"/>
    <w:rsid w:val="00C83445"/>
    <w:rsid w:val="00C83710"/>
    <w:rsid w:val="00C85013"/>
    <w:rsid w:val="00C85145"/>
    <w:rsid w:val="00C85CDF"/>
    <w:rsid w:val="00C86407"/>
    <w:rsid w:val="00C864CF"/>
    <w:rsid w:val="00C87BFA"/>
    <w:rsid w:val="00C87D42"/>
    <w:rsid w:val="00C87D5A"/>
    <w:rsid w:val="00C90303"/>
    <w:rsid w:val="00C90FCD"/>
    <w:rsid w:val="00C91397"/>
    <w:rsid w:val="00C914D4"/>
    <w:rsid w:val="00C927B4"/>
    <w:rsid w:val="00C9353A"/>
    <w:rsid w:val="00C93627"/>
    <w:rsid w:val="00C949F8"/>
    <w:rsid w:val="00C94B3A"/>
    <w:rsid w:val="00C950F5"/>
    <w:rsid w:val="00C95432"/>
    <w:rsid w:val="00C9605E"/>
    <w:rsid w:val="00C97A7E"/>
    <w:rsid w:val="00CA1B5D"/>
    <w:rsid w:val="00CA20F7"/>
    <w:rsid w:val="00CA344E"/>
    <w:rsid w:val="00CA38ED"/>
    <w:rsid w:val="00CA5021"/>
    <w:rsid w:val="00CA572C"/>
    <w:rsid w:val="00CA5779"/>
    <w:rsid w:val="00CA5FDB"/>
    <w:rsid w:val="00CA7AB0"/>
    <w:rsid w:val="00CA7F42"/>
    <w:rsid w:val="00CB1D88"/>
    <w:rsid w:val="00CB301E"/>
    <w:rsid w:val="00CB3CCA"/>
    <w:rsid w:val="00CB4BAB"/>
    <w:rsid w:val="00CB5880"/>
    <w:rsid w:val="00CC0F8F"/>
    <w:rsid w:val="00CC26E9"/>
    <w:rsid w:val="00CC2CAB"/>
    <w:rsid w:val="00CC3F7C"/>
    <w:rsid w:val="00CC41B5"/>
    <w:rsid w:val="00CC7659"/>
    <w:rsid w:val="00CD06FF"/>
    <w:rsid w:val="00CD0DDE"/>
    <w:rsid w:val="00CD1126"/>
    <w:rsid w:val="00CD2D23"/>
    <w:rsid w:val="00CD383A"/>
    <w:rsid w:val="00CD496C"/>
    <w:rsid w:val="00CD4DCE"/>
    <w:rsid w:val="00CD5564"/>
    <w:rsid w:val="00CD7427"/>
    <w:rsid w:val="00CE088C"/>
    <w:rsid w:val="00CE0DE4"/>
    <w:rsid w:val="00CE10E5"/>
    <w:rsid w:val="00CE1647"/>
    <w:rsid w:val="00CE3459"/>
    <w:rsid w:val="00CE3505"/>
    <w:rsid w:val="00CE3956"/>
    <w:rsid w:val="00CE3DA9"/>
    <w:rsid w:val="00CE4922"/>
    <w:rsid w:val="00CE522F"/>
    <w:rsid w:val="00CE59EE"/>
    <w:rsid w:val="00CE6705"/>
    <w:rsid w:val="00CE694B"/>
    <w:rsid w:val="00CF0A81"/>
    <w:rsid w:val="00CF1255"/>
    <w:rsid w:val="00CF155A"/>
    <w:rsid w:val="00CF1EF1"/>
    <w:rsid w:val="00CF2FB8"/>
    <w:rsid w:val="00CF33CD"/>
    <w:rsid w:val="00CF5A13"/>
    <w:rsid w:val="00CF5A27"/>
    <w:rsid w:val="00CF5B19"/>
    <w:rsid w:val="00CF694C"/>
    <w:rsid w:val="00D00F20"/>
    <w:rsid w:val="00D02B36"/>
    <w:rsid w:val="00D02BE7"/>
    <w:rsid w:val="00D03709"/>
    <w:rsid w:val="00D04DFB"/>
    <w:rsid w:val="00D110EC"/>
    <w:rsid w:val="00D11D94"/>
    <w:rsid w:val="00D11F17"/>
    <w:rsid w:val="00D15E55"/>
    <w:rsid w:val="00D20299"/>
    <w:rsid w:val="00D21F82"/>
    <w:rsid w:val="00D27C89"/>
    <w:rsid w:val="00D3060F"/>
    <w:rsid w:val="00D30669"/>
    <w:rsid w:val="00D33B52"/>
    <w:rsid w:val="00D350D4"/>
    <w:rsid w:val="00D366FE"/>
    <w:rsid w:val="00D375FC"/>
    <w:rsid w:val="00D43BB5"/>
    <w:rsid w:val="00D474DE"/>
    <w:rsid w:val="00D5084B"/>
    <w:rsid w:val="00D5110D"/>
    <w:rsid w:val="00D519C8"/>
    <w:rsid w:val="00D51CFE"/>
    <w:rsid w:val="00D51ED4"/>
    <w:rsid w:val="00D529B6"/>
    <w:rsid w:val="00D52DD4"/>
    <w:rsid w:val="00D54817"/>
    <w:rsid w:val="00D55EC8"/>
    <w:rsid w:val="00D569C3"/>
    <w:rsid w:val="00D60175"/>
    <w:rsid w:val="00D607BC"/>
    <w:rsid w:val="00D60E99"/>
    <w:rsid w:val="00D620DF"/>
    <w:rsid w:val="00D629CA"/>
    <w:rsid w:val="00D62A85"/>
    <w:rsid w:val="00D6471F"/>
    <w:rsid w:val="00D659D4"/>
    <w:rsid w:val="00D65D92"/>
    <w:rsid w:val="00D6605D"/>
    <w:rsid w:val="00D661EA"/>
    <w:rsid w:val="00D66419"/>
    <w:rsid w:val="00D66E3B"/>
    <w:rsid w:val="00D725FC"/>
    <w:rsid w:val="00D7389C"/>
    <w:rsid w:val="00D74DA7"/>
    <w:rsid w:val="00D75608"/>
    <w:rsid w:val="00D75F18"/>
    <w:rsid w:val="00D80C64"/>
    <w:rsid w:val="00D827DD"/>
    <w:rsid w:val="00D82A62"/>
    <w:rsid w:val="00D8460C"/>
    <w:rsid w:val="00D8583C"/>
    <w:rsid w:val="00D8724B"/>
    <w:rsid w:val="00D87A22"/>
    <w:rsid w:val="00D90457"/>
    <w:rsid w:val="00D92196"/>
    <w:rsid w:val="00D923A2"/>
    <w:rsid w:val="00D9308A"/>
    <w:rsid w:val="00D93A71"/>
    <w:rsid w:val="00D93BCE"/>
    <w:rsid w:val="00D96AEA"/>
    <w:rsid w:val="00D970F5"/>
    <w:rsid w:val="00DA0DB9"/>
    <w:rsid w:val="00DA0F59"/>
    <w:rsid w:val="00DA1B27"/>
    <w:rsid w:val="00DA2098"/>
    <w:rsid w:val="00DA7436"/>
    <w:rsid w:val="00DB0469"/>
    <w:rsid w:val="00DB3D12"/>
    <w:rsid w:val="00DB3EF4"/>
    <w:rsid w:val="00DB45B7"/>
    <w:rsid w:val="00DB6437"/>
    <w:rsid w:val="00DB67AA"/>
    <w:rsid w:val="00DB6F09"/>
    <w:rsid w:val="00DB7949"/>
    <w:rsid w:val="00DB79F2"/>
    <w:rsid w:val="00DC1031"/>
    <w:rsid w:val="00DC2956"/>
    <w:rsid w:val="00DC35C6"/>
    <w:rsid w:val="00DC45F0"/>
    <w:rsid w:val="00DC46A3"/>
    <w:rsid w:val="00DC51CE"/>
    <w:rsid w:val="00DC5D35"/>
    <w:rsid w:val="00DC78EA"/>
    <w:rsid w:val="00DD2852"/>
    <w:rsid w:val="00DD300A"/>
    <w:rsid w:val="00DD3260"/>
    <w:rsid w:val="00DD686F"/>
    <w:rsid w:val="00DD73EA"/>
    <w:rsid w:val="00DE20F8"/>
    <w:rsid w:val="00DE5614"/>
    <w:rsid w:val="00DE58CE"/>
    <w:rsid w:val="00DE63A6"/>
    <w:rsid w:val="00DE70AF"/>
    <w:rsid w:val="00DE70CE"/>
    <w:rsid w:val="00DF1B4A"/>
    <w:rsid w:val="00DF2570"/>
    <w:rsid w:val="00DF4B45"/>
    <w:rsid w:val="00DF4E35"/>
    <w:rsid w:val="00DF5289"/>
    <w:rsid w:val="00DF62E6"/>
    <w:rsid w:val="00DF6992"/>
    <w:rsid w:val="00DF6EA0"/>
    <w:rsid w:val="00E013B1"/>
    <w:rsid w:val="00E01B43"/>
    <w:rsid w:val="00E071A8"/>
    <w:rsid w:val="00E112B7"/>
    <w:rsid w:val="00E113CC"/>
    <w:rsid w:val="00E119FF"/>
    <w:rsid w:val="00E11ADD"/>
    <w:rsid w:val="00E120C8"/>
    <w:rsid w:val="00E12D66"/>
    <w:rsid w:val="00E132B9"/>
    <w:rsid w:val="00E13692"/>
    <w:rsid w:val="00E139FC"/>
    <w:rsid w:val="00E14EAE"/>
    <w:rsid w:val="00E1508E"/>
    <w:rsid w:val="00E155AB"/>
    <w:rsid w:val="00E1705B"/>
    <w:rsid w:val="00E17700"/>
    <w:rsid w:val="00E1797A"/>
    <w:rsid w:val="00E2153A"/>
    <w:rsid w:val="00E22D5F"/>
    <w:rsid w:val="00E23658"/>
    <w:rsid w:val="00E239D6"/>
    <w:rsid w:val="00E24166"/>
    <w:rsid w:val="00E26A13"/>
    <w:rsid w:val="00E270F3"/>
    <w:rsid w:val="00E2717D"/>
    <w:rsid w:val="00E31438"/>
    <w:rsid w:val="00E32BC1"/>
    <w:rsid w:val="00E337CA"/>
    <w:rsid w:val="00E349D5"/>
    <w:rsid w:val="00E3797D"/>
    <w:rsid w:val="00E412A1"/>
    <w:rsid w:val="00E41D9B"/>
    <w:rsid w:val="00E4217B"/>
    <w:rsid w:val="00E439E4"/>
    <w:rsid w:val="00E43A55"/>
    <w:rsid w:val="00E45E10"/>
    <w:rsid w:val="00E46FFA"/>
    <w:rsid w:val="00E510AB"/>
    <w:rsid w:val="00E51450"/>
    <w:rsid w:val="00E5243B"/>
    <w:rsid w:val="00E5293A"/>
    <w:rsid w:val="00E52F7A"/>
    <w:rsid w:val="00E5439A"/>
    <w:rsid w:val="00E54A83"/>
    <w:rsid w:val="00E54B59"/>
    <w:rsid w:val="00E56AB8"/>
    <w:rsid w:val="00E57149"/>
    <w:rsid w:val="00E61E3E"/>
    <w:rsid w:val="00E63527"/>
    <w:rsid w:val="00E6355D"/>
    <w:rsid w:val="00E64D2B"/>
    <w:rsid w:val="00E6595D"/>
    <w:rsid w:val="00E65AAA"/>
    <w:rsid w:val="00E6634A"/>
    <w:rsid w:val="00E66D50"/>
    <w:rsid w:val="00E6731B"/>
    <w:rsid w:val="00E71E72"/>
    <w:rsid w:val="00E72B66"/>
    <w:rsid w:val="00E73830"/>
    <w:rsid w:val="00E742A6"/>
    <w:rsid w:val="00E74639"/>
    <w:rsid w:val="00E75775"/>
    <w:rsid w:val="00E75940"/>
    <w:rsid w:val="00E75D09"/>
    <w:rsid w:val="00E764A4"/>
    <w:rsid w:val="00E778A5"/>
    <w:rsid w:val="00E82459"/>
    <w:rsid w:val="00E85485"/>
    <w:rsid w:val="00E8677C"/>
    <w:rsid w:val="00E8692B"/>
    <w:rsid w:val="00E9200C"/>
    <w:rsid w:val="00E9289C"/>
    <w:rsid w:val="00E959E4"/>
    <w:rsid w:val="00E96D26"/>
    <w:rsid w:val="00E9793C"/>
    <w:rsid w:val="00EA0D22"/>
    <w:rsid w:val="00EA10F9"/>
    <w:rsid w:val="00EA1137"/>
    <w:rsid w:val="00EA2390"/>
    <w:rsid w:val="00EA23EE"/>
    <w:rsid w:val="00EA2616"/>
    <w:rsid w:val="00EA2DE8"/>
    <w:rsid w:val="00EA3A74"/>
    <w:rsid w:val="00EA4247"/>
    <w:rsid w:val="00EB016C"/>
    <w:rsid w:val="00EB029A"/>
    <w:rsid w:val="00EB04CE"/>
    <w:rsid w:val="00EB12C5"/>
    <w:rsid w:val="00EB4305"/>
    <w:rsid w:val="00EB4337"/>
    <w:rsid w:val="00EB51FF"/>
    <w:rsid w:val="00EB79A8"/>
    <w:rsid w:val="00EC0287"/>
    <w:rsid w:val="00EC3B91"/>
    <w:rsid w:val="00EC7047"/>
    <w:rsid w:val="00EC7B70"/>
    <w:rsid w:val="00ED0566"/>
    <w:rsid w:val="00ED2F22"/>
    <w:rsid w:val="00ED6542"/>
    <w:rsid w:val="00ED67EB"/>
    <w:rsid w:val="00ED74A4"/>
    <w:rsid w:val="00ED7B5D"/>
    <w:rsid w:val="00EE09A1"/>
    <w:rsid w:val="00EE0CE8"/>
    <w:rsid w:val="00EE1467"/>
    <w:rsid w:val="00EE1ABB"/>
    <w:rsid w:val="00EE286C"/>
    <w:rsid w:val="00EE36D5"/>
    <w:rsid w:val="00EE5008"/>
    <w:rsid w:val="00EE70DC"/>
    <w:rsid w:val="00EF1F33"/>
    <w:rsid w:val="00EF2490"/>
    <w:rsid w:val="00EF3BD0"/>
    <w:rsid w:val="00EF40CC"/>
    <w:rsid w:val="00EF45AD"/>
    <w:rsid w:val="00EF5582"/>
    <w:rsid w:val="00EF5FD3"/>
    <w:rsid w:val="00EF7500"/>
    <w:rsid w:val="00EF7808"/>
    <w:rsid w:val="00EF7ADC"/>
    <w:rsid w:val="00F01870"/>
    <w:rsid w:val="00F01951"/>
    <w:rsid w:val="00F0278B"/>
    <w:rsid w:val="00F0299A"/>
    <w:rsid w:val="00F02CA3"/>
    <w:rsid w:val="00F03341"/>
    <w:rsid w:val="00F0360B"/>
    <w:rsid w:val="00F03B4F"/>
    <w:rsid w:val="00F05421"/>
    <w:rsid w:val="00F0773C"/>
    <w:rsid w:val="00F131FB"/>
    <w:rsid w:val="00F15AB1"/>
    <w:rsid w:val="00F16365"/>
    <w:rsid w:val="00F17927"/>
    <w:rsid w:val="00F17CDD"/>
    <w:rsid w:val="00F21325"/>
    <w:rsid w:val="00F21864"/>
    <w:rsid w:val="00F21A4A"/>
    <w:rsid w:val="00F22CA6"/>
    <w:rsid w:val="00F23904"/>
    <w:rsid w:val="00F24A49"/>
    <w:rsid w:val="00F25C95"/>
    <w:rsid w:val="00F30EEB"/>
    <w:rsid w:val="00F3102B"/>
    <w:rsid w:val="00F31137"/>
    <w:rsid w:val="00F314D8"/>
    <w:rsid w:val="00F3285B"/>
    <w:rsid w:val="00F33B10"/>
    <w:rsid w:val="00F33B41"/>
    <w:rsid w:val="00F33C1A"/>
    <w:rsid w:val="00F340C6"/>
    <w:rsid w:val="00F36022"/>
    <w:rsid w:val="00F4155A"/>
    <w:rsid w:val="00F4279F"/>
    <w:rsid w:val="00F42FB4"/>
    <w:rsid w:val="00F43D57"/>
    <w:rsid w:val="00F45E87"/>
    <w:rsid w:val="00F47DB6"/>
    <w:rsid w:val="00F54717"/>
    <w:rsid w:val="00F55341"/>
    <w:rsid w:val="00F55380"/>
    <w:rsid w:val="00F573BA"/>
    <w:rsid w:val="00F576E1"/>
    <w:rsid w:val="00F579CD"/>
    <w:rsid w:val="00F60F5B"/>
    <w:rsid w:val="00F61403"/>
    <w:rsid w:val="00F62413"/>
    <w:rsid w:val="00F6756C"/>
    <w:rsid w:val="00F675EA"/>
    <w:rsid w:val="00F67EFE"/>
    <w:rsid w:val="00F72303"/>
    <w:rsid w:val="00F72A03"/>
    <w:rsid w:val="00F72D09"/>
    <w:rsid w:val="00F76C56"/>
    <w:rsid w:val="00F76EB1"/>
    <w:rsid w:val="00F77755"/>
    <w:rsid w:val="00F808F1"/>
    <w:rsid w:val="00F80B20"/>
    <w:rsid w:val="00F81302"/>
    <w:rsid w:val="00F81B93"/>
    <w:rsid w:val="00F82162"/>
    <w:rsid w:val="00F8258F"/>
    <w:rsid w:val="00F863B8"/>
    <w:rsid w:val="00F874CA"/>
    <w:rsid w:val="00F90FDE"/>
    <w:rsid w:val="00F91633"/>
    <w:rsid w:val="00F95418"/>
    <w:rsid w:val="00FA1CEA"/>
    <w:rsid w:val="00FA201F"/>
    <w:rsid w:val="00FA3A50"/>
    <w:rsid w:val="00FA473C"/>
    <w:rsid w:val="00FA4A61"/>
    <w:rsid w:val="00FA67B0"/>
    <w:rsid w:val="00FB0BF9"/>
    <w:rsid w:val="00FB0C4E"/>
    <w:rsid w:val="00FB688D"/>
    <w:rsid w:val="00FB6CE4"/>
    <w:rsid w:val="00FB7A12"/>
    <w:rsid w:val="00FC0495"/>
    <w:rsid w:val="00FC09D2"/>
    <w:rsid w:val="00FC3445"/>
    <w:rsid w:val="00FC3B2C"/>
    <w:rsid w:val="00FC6174"/>
    <w:rsid w:val="00FD0AE0"/>
    <w:rsid w:val="00FD29F4"/>
    <w:rsid w:val="00FD446D"/>
    <w:rsid w:val="00FD44AD"/>
    <w:rsid w:val="00FD4F95"/>
    <w:rsid w:val="00FD5051"/>
    <w:rsid w:val="00FD6C78"/>
    <w:rsid w:val="00FE09D8"/>
    <w:rsid w:val="00FE0C02"/>
    <w:rsid w:val="00FE2727"/>
    <w:rsid w:val="00FE3E57"/>
    <w:rsid w:val="00FE435E"/>
    <w:rsid w:val="00FE5BC7"/>
    <w:rsid w:val="00FE5E11"/>
    <w:rsid w:val="00FF103E"/>
    <w:rsid w:val="00FF3797"/>
    <w:rsid w:val="00FF47F9"/>
    <w:rsid w:val="02046BAB"/>
    <w:rsid w:val="03F05EB9"/>
    <w:rsid w:val="0C8D4E8A"/>
    <w:rsid w:val="0DF12102"/>
    <w:rsid w:val="0E4B566B"/>
    <w:rsid w:val="11FF2E69"/>
    <w:rsid w:val="127D7137"/>
    <w:rsid w:val="1763124B"/>
    <w:rsid w:val="186C5F15"/>
    <w:rsid w:val="18A02DEA"/>
    <w:rsid w:val="1A8B7C0A"/>
    <w:rsid w:val="244C0B0C"/>
    <w:rsid w:val="24CC6078"/>
    <w:rsid w:val="25A16F45"/>
    <w:rsid w:val="25EF1550"/>
    <w:rsid w:val="2E6401C1"/>
    <w:rsid w:val="2E704C11"/>
    <w:rsid w:val="32707D19"/>
    <w:rsid w:val="355B150C"/>
    <w:rsid w:val="3D4750A0"/>
    <w:rsid w:val="4041288D"/>
    <w:rsid w:val="41AA57CC"/>
    <w:rsid w:val="45B41DA5"/>
    <w:rsid w:val="471A6078"/>
    <w:rsid w:val="47D9186E"/>
    <w:rsid w:val="489F00E0"/>
    <w:rsid w:val="4B870809"/>
    <w:rsid w:val="505E0870"/>
    <w:rsid w:val="50B1365D"/>
    <w:rsid w:val="51CB43EE"/>
    <w:rsid w:val="537156E5"/>
    <w:rsid w:val="5769729D"/>
    <w:rsid w:val="613832CB"/>
    <w:rsid w:val="66383072"/>
    <w:rsid w:val="6B0E5776"/>
    <w:rsid w:val="6C7607F4"/>
    <w:rsid w:val="6FCC0AFB"/>
    <w:rsid w:val="7B204CC4"/>
    <w:rsid w:val="7B420EF6"/>
    <w:rsid w:val="7B7347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iPriority="39" w:semiHidden="0" w:name="toc 1" w:locked="1"/>
    <w:lsdException w:qFormat="1" w:uiPriority="39" w:semiHidden="0" w:name="toc 2" w:locked="1"/>
    <w:lsdException w:qFormat="1"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nhideWhenUsed="0" w:uiPriority="0" w:semiHidden="0" w:name="header" w:locked="1"/>
    <w:lsdException w:qFormat="1" w:unhideWhenUsed="0" w:uiPriority="99" w:semiHidden="0" w:name="footer" w:locked="1"/>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qFormat="1" w:unhideWhenUsed="0" w:uiPriority="99" w:semiHidden="0" w:name="Hyperlink" w:locked="1"/>
    <w:lsdException w:qFormat="1"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iPriority="0" w:name="HTML Variable" w:locked="1"/>
    <w:lsdException w:qFormat="1" w:uiPriority="99" w:name="Normal Table"/>
    <w:lsdException w:unhideWhenUsed="0" w:uiPriority="0" w:semiHidden="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iPriority="0" w:name="Balloon Text" w:locked="1"/>
    <w:lsdException w:qFormat="1" w:unhideWhenUsed="0" w:uiPriority="59" w:semiHidden="0" w:name="Table Grid" w:locked="1"/>
    <w:lsdException w:uiPriority="0" w:name="Table Theme" w:locked="1"/>
    <w:lsdException w:qFormat="1" w:uiPriority="99" w:semiHidden="0" w:name="Placeholder Text"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ocked="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2"/>
    <w:qFormat/>
    <w:locked/>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qFormat/>
    <w:locked/>
    <w:uiPriority w:val="0"/>
    <w:rPr>
      <w:rFonts w:ascii="宋体" w:hAnsi="Courier New"/>
    </w:rPr>
  </w:style>
  <w:style w:type="paragraph" w:styleId="4">
    <w:name w:val="toc 3"/>
    <w:basedOn w:val="1"/>
    <w:next w:val="1"/>
    <w:unhideWhenUsed/>
    <w:qFormat/>
    <w:locked/>
    <w:uiPriority w:val="39"/>
    <w:pPr>
      <w:widowControl/>
      <w:spacing w:after="100" w:line="259" w:lineRule="auto"/>
      <w:ind w:left="440"/>
      <w:jc w:val="left"/>
    </w:pPr>
    <w:rPr>
      <w:rFonts w:asciiTheme="minorHAnsi" w:hAnsiTheme="minorHAnsi" w:eastAsiaTheme="minorEastAsia"/>
      <w:kern w:val="0"/>
      <w:sz w:val="22"/>
      <w:szCs w:val="22"/>
    </w:rPr>
  </w:style>
  <w:style w:type="paragraph" w:styleId="5">
    <w:name w:val="Balloon Text"/>
    <w:basedOn w:val="1"/>
    <w:link w:val="28"/>
    <w:semiHidden/>
    <w:unhideWhenUsed/>
    <w:qFormat/>
    <w:locked/>
    <w:uiPriority w:val="0"/>
    <w:rPr>
      <w:sz w:val="18"/>
      <w:szCs w:val="18"/>
    </w:rPr>
  </w:style>
  <w:style w:type="paragraph" w:styleId="6">
    <w:name w:val="footer"/>
    <w:basedOn w:val="1"/>
    <w:link w:val="17"/>
    <w:qFormat/>
    <w:locked/>
    <w:uiPriority w:val="99"/>
    <w:pPr>
      <w:tabs>
        <w:tab w:val="center" w:pos="4153"/>
        <w:tab w:val="right" w:pos="8306"/>
      </w:tabs>
      <w:snapToGrid w:val="0"/>
      <w:jc w:val="left"/>
    </w:pPr>
    <w:rPr>
      <w:sz w:val="18"/>
      <w:szCs w:val="18"/>
    </w:rPr>
  </w:style>
  <w:style w:type="paragraph" w:styleId="7">
    <w:name w:val="header"/>
    <w:basedOn w:val="1"/>
    <w:link w:val="16"/>
    <w:qFormat/>
    <w:locked/>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locked/>
    <w:uiPriority w:val="39"/>
    <w:pPr>
      <w:widowControl/>
      <w:spacing w:after="100" w:line="259" w:lineRule="auto"/>
      <w:jc w:val="left"/>
    </w:pPr>
    <w:rPr>
      <w:rFonts w:asciiTheme="minorHAnsi" w:hAnsiTheme="minorHAnsi" w:eastAsiaTheme="minorEastAsia"/>
      <w:kern w:val="0"/>
      <w:sz w:val="22"/>
      <w:szCs w:val="22"/>
    </w:rPr>
  </w:style>
  <w:style w:type="paragraph" w:styleId="9">
    <w:name w:val="toc 2"/>
    <w:basedOn w:val="1"/>
    <w:next w:val="1"/>
    <w:unhideWhenUsed/>
    <w:qFormat/>
    <w:locked/>
    <w:uiPriority w:val="39"/>
    <w:pPr>
      <w:widowControl/>
      <w:spacing w:after="100" w:line="259" w:lineRule="auto"/>
      <w:ind w:left="220"/>
      <w:jc w:val="left"/>
    </w:pPr>
    <w:rPr>
      <w:rFonts w:asciiTheme="minorHAnsi" w:hAnsiTheme="minorHAnsi" w:eastAsiaTheme="minorEastAsia"/>
      <w:kern w:val="0"/>
      <w:sz w:val="22"/>
      <w:szCs w:val="22"/>
    </w:rPr>
  </w:style>
  <w:style w:type="paragraph" w:styleId="10">
    <w:name w:val="Normal (Web)"/>
    <w:basedOn w:val="1"/>
    <w:qFormat/>
    <w:locked/>
    <w:uiPriority w:val="0"/>
    <w:pPr>
      <w:spacing w:beforeAutospacing="1" w:afterAutospacing="1"/>
      <w:jc w:val="left"/>
    </w:pPr>
    <w:rPr>
      <w:rFonts w:cs="Times New Roman"/>
      <w:kern w:val="0"/>
      <w:sz w:val="24"/>
    </w:rPr>
  </w:style>
  <w:style w:type="character" w:styleId="12">
    <w:name w:val="FollowedHyperlink"/>
    <w:basedOn w:val="11"/>
    <w:qFormat/>
    <w:locked/>
    <w:uiPriority w:val="0"/>
    <w:rPr>
      <w:color w:val="954F72" w:themeColor="followedHyperlink"/>
      <w:u w:val="single"/>
      <w14:textFill>
        <w14:solidFill>
          <w14:schemeClr w14:val="folHlink"/>
        </w14:solidFill>
      </w14:textFill>
    </w:rPr>
  </w:style>
  <w:style w:type="character" w:styleId="13">
    <w:name w:val="Hyperlink"/>
    <w:basedOn w:val="11"/>
    <w:qFormat/>
    <w:locked/>
    <w:uiPriority w:val="99"/>
    <w:rPr>
      <w:color w:val="0563C1" w:themeColor="hyperlink"/>
      <w:u w:val="single"/>
      <w14:textFill>
        <w14:solidFill>
          <w14:schemeClr w14:val="hlink"/>
        </w14:solidFill>
      </w14:textFill>
    </w:rPr>
  </w:style>
  <w:style w:type="table" w:styleId="15">
    <w:name w:val="Table Grid"/>
    <w:basedOn w:val="14"/>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6">
    <w:name w:val="页眉 字符"/>
    <w:link w:val="7"/>
    <w:qFormat/>
    <w:uiPriority w:val="0"/>
    <w:rPr>
      <w:kern w:val="2"/>
      <w:sz w:val="18"/>
      <w:szCs w:val="18"/>
    </w:rPr>
  </w:style>
  <w:style w:type="character" w:customStyle="1" w:styleId="17">
    <w:name w:val="页脚 字符1"/>
    <w:link w:val="6"/>
    <w:qFormat/>
    <w:uiPriority w:val="0"/>
    <w:rPr>
      <w:kern w:val="2"/>
      <w:sz w:val="18"/>
      <w:szCs w:val="18"/>
    </w:rPr>
  </w:style>
  <w:style w:type="character" w:customStyle="1" w:styleId="18">
    <w:name w:val="页脚 字符"/>
    <w:qFormat/>
    <w:locked/>
    <w:uiPriority w:val="99"/>
  </w:style>
  <w:style w:type="character" w:styleId="19">
    <w:name w:val="Placeholder Text"/>
    <w:basedOn w:val="11"/>
    <w:unhideWhenUsed/>
    <w:qFormat/>
    <w:locked/>
    <w:uiPriority w:val="99"/>
    <w:rPr>
      <w:color w:val="808080"/>
    </w:rPr>
  </w:style>
  <w:style w:type="paragraph" w:styleId="20">
    <w:name w:val="List Paragraph"/>
    <w:basedOn w:val="1"/>
    <w:qFormat/>
    <w:locked/>
    <w:uiPriority w:val="99"/>
    <w:pPr>
      <w:ind w:firstLine="420" w:firstLineChars="200"/>
    </w:pPr>
  </w:style>
  <w:style w:type="character" w:customStyle="1" w:styleId="21">
    <w:name w:val="未处理的提及1"/>
    <w:basedOn w:val="11"/>
    <w:semiHidden/>
    <w:unhideWhenUsed/>
    <w:qFormat/>
    <w:locked/>
    <w:uiPriority w:val="99"/>
    <w:rPr>
      <w:color w:val="605E5C"/>
      <w:shd w:val="clear" w:color="auto" w:fill="E1DFDD"/>
    </w:rPr>
  </w:style>
  <w:style w:type="character" w:customStyle="1" w:styleId="22">
    <w:name w:val="标题 1 字符"/>
    <w:basedOn w:val="11"/>
    <w:link w:val="3"/>
    <w:qFormat/>
    <w:uiPriority w:val="0"/>
    <w:rPr>
      <w:b/>
      <w:bCs/>
      <w:kern w:val="44"/>
      <w:sz w:val="44"/>
      <w:szCs w:val="44"/>
    </w:rPr>
  </w:style>
  <w:style w:type="paragraph" w:customStyle="1" w:styleId="23">
    <w:name w:val="TOC 标题1"/>
    <w:basedOn w:val="3"/>
    <w:next w:val="1"/>
    <w:unhideWhenUsed/>
    <w:qFormat/>
    <w:locked/>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24">
    <w:name w:val="样式1"/>
    <w:basedOn w:val="11"/>
    <w:qFormat/>
    <w:locked/>
    <w:uiPriority w:val="1"/>
    <w:rPr>
      <w:i/>
    </w:rPr>
  </w:style>
  <w:style w:type="character" w:customStyle="1" w:styleId="25">
    <w:name w:val="样式2"/>
    <w:basedOn w:val="11"/>
    <w:qFormat/>
    <w:locked/>
    <w:uiPriority w:val="1"/>
    <w:rPr>
      <w:b/>
      <w:i/>
      <w:sz w:val="24"/>
    </w:rPr>
  </w:style>
  <w:style w:type="character" w:customStyle="1" w:styleId="26">
    <w:name w:val="样式3"/>
    <w:basedOn w:val="11"/>
    <w:qFormat/>
    <w:locked/>
    <w:uiPriority w:val="1"/>
    <w:rPr>
      <w:u w:val="single"/>
    </w:rPr>
  </w:style>
  <w:style w:type="character" w:customStyle="1" w:styleId="27">
    <w:name w:val="样式4"/>
    <w:basedOn w:val="11"/>
    <w:qFormat/>
    <w:locked/>
    <w:uiPriority w:val="1"/>
    <w:rPr>
      <w:i/>
      <w:sz w:val="24"/>
      <w:u w:val="single"/>
    </w:rPr>
  </w:style>
  <w:style w:type="character" w:customStyle="1" w:styleId="28">
    <w:name w:val="批注框文本 字符"/>
    <w:basedOn w:val="11"/>
    <w:link w:val="5"/>
    <w:semiHidden/>
    <w:qFormat/>
    <w:uiPriority w:val="0"/>
    <w:rPr>
      <w:kern w:val="2"/>
      <w:sz w:val="18"/>
      <w:szCs w:val="18"/>
    </w:rPr>
  </w:style>
  <w:style w:type="character" w:customStyle="1" w:styleId="29">
    <w:name w:val="样式5"/>
    <w:basedOn w:val="11"/>
    <w:qFormat/>
    <w:locked/>
    <w:uiPriority w:val="1"/>
    <w:rPr>
      <w:u w:val="single"/>
    </w:rPr>
  </w:style>
  <w:style w:type="character" w:customStyle="1" w:styleId="30">
    <w:name w:val="样式6"/>
    <w:basedOn w:val="11"/>
    <w:qFormat/>
    <w:locked/>
    <w:uiPriority w:val="1"/>
    <w:rPr>
      <w:sz w:val="24"/>
      <w:u w:val="single"/>
    </w:rPr>
  </w:style>
  <w:style w:type="character" w:customStyle="1" w:styleId="31">
    <w:name w:val="样式7"/>
    <w:basedOn w:val="11"/>
    <w:qFormat/>
    <w:locked/>
    <w:uiPriority w:val="1"/>
    <w:rPr>
      <w:rFonts w:eastAsia="宋体"/>
      <w:sz w:val="24"/>
    </w:rPr>
  </w:style>
  <w:style w:type="character" w:customStyle="1" w:styleId="32">
    <w:name w:val="样式8"/>
    <w:basedOn w:val="11"/>
    <w:qFormat/>
    <w:locked/>
    <w:uiPriority w:val="1"/>
    <w:rPr>
      <w:rFonts w:eastAsia="宋体"/>
      <w:sz w:val="24"/>
    </w:rPr>
  </w:style>
  <w:style w:type="character" w:customStyle="1" w:styleId="33">
    <w:name w:val="样式9"/>
    <w:basedOn w:val="11"/>
    <w:qFormat/>
    <w:locked/>
    <w:uiPriority w:val="1"/>
    <w:rPr>
      <w:rFonts w:eastAsia="宋体"/>
      <w:sz w:val="24"/>
    </w:rPr>
  </w:style>
  <w:style w:type="character" w:customStyle="1" w:styleId="34">
    <w:name w:val="样式10"/>
    <w:basedOn w:val="11"/>
    <w:qFormat/>
    <w:locked/>
    <w:uiPriority w:val="1"/>
    <w:rPr>
      <w:rFonts w:eastAsia="宋体"/>
      <w:sz w:val="24"/>
    </w:rPr>
  </w:style>
  <w:style w:type="character" w:customStyle="1" w:styleId="35">
    <w:name w:val="样式11"/>
    <w:basedOn w:val="11"/>
    <w:qFormat/>
    <w:locked/>
    <w:uiPriority w:val="1"/>
    <w:rPr>
      <w:rFonts w:eastAsia="宋体"/>
      <w:color w:val="000000" w:themeColor="text1"/>
      <w:sz w:val="24"/>
      <w14:textFill>
        <w14:solidFill>
          <w14:schemeClr w14:val="tx1"/>
        </w14:solidFill>
      </w14:textFill>
    </w:rPr>
  </w:style>
  <w:style w:type="character" w:customStyle="1" w:styleId="36">
    <w:name w:val="样式12"/>
    <w:basedOn w:val="11"/>
    <w:qFormat/>
    <w:locked/>
    <w:uiPriority w:val="1"/>
    <w:rPr>
      <w:rFonts w:eastAsia="宋体"/>
      <w:color w:val="000000" w:themeColor="text1"/>
      <w:sz w:val="24"/>
      <w14:textFill>
        <w14:solidFill>
          <w14:schemeClr w14:val="tx1"/>
        </w14:solidFill>
      </w14:textFill>
    </w:rPr>
  </w:style>
  <w:style w:type="character" w:customStyle="1" w:styleId="37">
    <w:name w:val="样式13"/>
    <w:basedOn w:val="11"/>
    <w:qFormat/>
    <w:locked/>
    <w:uiPriority w:val="1"/>
    <w:rPr>
      <w:b/>
      <w:color w:val="000000" w:themeColor="text1"/>
      <w:sz w:val="24"/>
      <w14:textFill>
        <w14:solidFill>
          <w14:schemeClr w14:val="tx1"/>
        </w14:solidFill>
      </w14:textFill>
    </w:rPr>
  </w:style>
  <w:style w:type="character" w:customStyle="1" w:styleId="38">
    <w:name w:val="样式14"/>
    <w:basedOn w:val="11"/>
    <w:qFormat/>
    <w:locked/>
    <w:uiPriority w:val="1"/>
    <w:rPr>
      <w:rFonts w:eastAsia="宋体"/>
      <w:color w:val="000000" w:themeColor="text1"/>
      <w:sz w:val="24"/>
      <w14:textFill>
        <w14:solidFill>
          <w14:schemeClr w14:val="tx1"/>
        </w14:solidFill>
      </w14:textFill>
    </w:rPr>
  </w:style>
  <w:style w:type="character" w:customStyle="1" w:styleId="39">
    <w:name w:val="样式15"/>
    <w:basedOn w:val="11"/>
    <w:qFormat/>
    <w:locked/>
    <w:uiPriority w:val="1"/>
    <w:rPr>
      <w:rFonts w:eastAsia="宋体"/>
      <w:sz w:val="24"/>
    </w:rPr>
  </w:style>
  <w:style w:type="character" w:customStyle="1" w:styleId="40">
    <w:name w:val="样式16"/>
    <w:basedOn w:val="11"/>
    <w:qFormat/>
    <w:locked/>
    <w:uiPriority w:val="1"/>
    <w:rPr>
      <w:rFonts w:ascii="宋体" w:hAnsi="宋体" w:eastAsia="宋体" w:cs="宋体"/>
      <w:color w:val="auto"/>
      <w:sz w:val="24"/>
      <w:szCs w:val="24"/>
    </w:rPr>
  </w:style>
  <w:style w:type="character" w:customStyle="1" w:styleId="41">
    <w:name w:val="样式17"/>
    <w:basedOn w:val="11"/>
    <w:qFormat/>
    <w:uiPriority w:val="1"/>
    <w:rPr>
      <w:sz w:val="24"/>
    </w:rPr>
  </w:style>
  <w:style w:type="character" w:customStyle="1" w:styleId="42">
    <w:name w:val="未处理的提及2"/>
    <w:basedOn w:val="11"/>
    <w:semiHidden/>
    <w:unhideWhenUsed/>
    <w:qFormat/>
    <w:uiPriority w:val="99"/>
    <w:rPr>
      <w:color w:val="605E5C"/>
      <w:shd w:val="clear" w:color="auto" w:fill="E1DFDD"/>
    </w:rPr>
  </w:style>
  <w:style w:type="character" w:customStyle="1" w:styleId="43">
    <w:name w:val="样式18"/>
    <w:basedOn w:val="11"/>
    <w:qFormat/>
    <w:uiPriority w:val="1"/>
    <w:rPr>
      <w:rFonts w:eastAsia="腾祥睿黑简-W6"/>
      <w:sz w:val="44"/>
    </w:rPr>
  </w:style>
  <w:style w:type="character" w:customStyle="1" w:styleId="44">
    <w:name w:val="样式19"/>
    <w:basedOn w:val="11"/>
    <w:qFormat/>
    <w:uiPriority w:val="1"/>
    <w:rPr>
      <w:sz w:val="28"/>
    </w:rPr>
  </w:style>
  <w:style w:type="character" w:customStyle="1" w:styleId="45">
    <w:name w:val="样式20"/>
    <w:basedOn w:val="11"/>
    <w:qFormat/>
    <w:uiPriority w:val="1"/>
    <w:rPr>
      <w:u w:val="single"/>
    </w:rPr>
  </w:style>
  <w:style w:type="character" w:customStyle="1" w:styleId="46">
    <w:name w:val="样式21"/>
    <w:basedOn w:val="11"/>
    <w:qFormat/>
    <w:uiPriority w:val="1"/>
    <w:rPr>
      <w:rFonts w:eastAsia="宋体"/>
      <w:sz w:val="24"/>
      <w:u w:val="single"/>
    </w:rPr>
  </w:style>
  <w:style w:type="character" w:customStyle="1" w:styleId="47">
    <w:name w:val="样式22"/>
    <w:basedOn w:val="11"/>
    <w:qFormat/>
    <w:uiPriority w:val="1"/>
    <w:rPr>
      <w:rFonts w:eastAsia="宋体"/>
      <w:sz w:val="24"/>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gZheng\Desktop\7.8\&#19994;&#21153;\&#23425;&#24503;\&#28246;&#21335;&#37995;&#30334;&#31119;202209-031\&#33609;&#31295;&#21512;&#21516;\&#36827;&#21475;&#29028;&#37319;&#36141;&#21512;&#21516;&#27169;&#26495;(JKM1_&#33329;&#24213;&#20132;&#36135;&#19987;&#29992;_R20220907-C).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EB193D-0BC3-4E62-9B43-01E0998E6176}">
  <ds:schemaRefs/>
</ds:datastoreItem>
</file>

<file path=docProps/app.xml><?xml version="1.0" encoding="utf-8"?>
<Properties xmlns="http://schemas.openxmlformats.org/officeDocument/2006/extended-properties" xmlns:vt="http://schemas.openxmlformats.org/officeDocument/2006/docPropsVTypes">
  <Template>进口煤采购合同模板(JKM1_舱底交货专用_R20220907-C)</Template>
  <Company>china</Company>
  <Pages>9</Pages>
  <Words>7366</Words>
  <Characters>1788</Characters>
  <Lines>14</Lines>
  <Paragraphs>18</Paragraphs>
  <ScaleCrop>false</ScaleCrop>
  <LinksUpToDate>false</LinksUpToDate>
  <CharactersWithSpaces>9136</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2023-07-16T12:42:00Z</dcterms:created>
  <dc:creator>杜敬涛</dc:creator>
  <cp:lastModifiedBy>Administrator</cp:lastModifiedBy>
  <cp:lastPrinted>2020-05-19T08:17:00Z</cp:lastPrinted>
  <dcterms:modified xsi:type="dcterms:W3CDTF">2023-09-14T01:40:26Z</dcterms:modified>
  <dc:title>进口煤采购合同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