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F632C">
      <w:pPr>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rPr>
        <w:t>附件</w:t>
      </w:r>
    </w:p>
    <w:p w14:paraId="321809EA">
      <w:pPr>
        <w:rPr>
          <w:sz w:val="48"/>
          <w:szCs w:val="48"/>
        </w:rPr>
      </w:pPr>
    </w:p>
    <w:p w14:paraId="6D355B26">
      <w:pPr>
        <w:rPr>
          <w:sz w:val="48"/>
          <w:szCs w:val="48"/>
        </w:rPr>
      </w:pPr>
      <w:r>
        <w:rPr>
          <w:sz w:val="48"/>
          <w:szCs w:val="48"/>
        </w:rPr>
        <w:drawing>
          <wp:inline distT="0" distB="0" distL="114300" distR="114300">
            <wp:extent cx="2452370" cy="466090"/>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452370" cy="466090"/>
                    </a:xfrm>
                    <a:prstGeom prst="rect">
                      <a:avLst/>
                    </a:prstGeom>
                    <a:noFill/>
                    <a:ln>
                      <a:noFill/>
                    </a:ln>
                  </pic:spPr>
                </pic:pic>
              </a:graphicData>
            </a:graphic>
          </wp:inline>
        </w:drawing>
      </w:r>
    </w:p>
    <w:p w14:paraId="76481DBE">
      <w:pPr>
        <w:rPr>
          <w:sz w:val="48"/>
          <w:szCs w:val="48"/>
        </w:rPr>
      </w:pPr>
    </w:p>
    <w:p w14:paraId="49C49B2B">
      <w:pPr>
        <w:rPr>
          <w:sz w:val="48"/>
          <w:szCs w:val="48"/>
        </w:rPr>
      </w:pPr>
    </w:p>
    <w:p w14:paraId="6F88A5AA">
      <w:pPr>
        <w:rPr>
          <w:rFonts w:hint="eastAsia" w:ascii="方正小标宋简体" w:hAnsi="方正小标宋简体" w:eastAsia="方正小标宋简体" w:cs="方正小标宋简体"/>
          <w:b w:val="0"/>
          <w:bCs/>
          <w:sz w:val="32"/>
          <w:szCs w:val="32"/>
          <w:lang w:val="en-US" w:eastAsia="zh-CN" w:bidi="ar"/>
        </w:rPr>
      </w:pPr>
    </w:p>
    <w:p w14:paraId="04BDBEEC">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lang w:bidi="ar"/>
        </w:rPr>
      </w:pPr>
      <w:r>
        <w:rPr>
          <w:rFonts w:hint="eastAsia" w:ascii="方正小标宋简体" w:hAnsi="方正小标宋简体" w:eastAsia="方正小标宋简体" w:cs="方正小标宋简体"/>
          <w:b w:val="0"/>
          <w:bCs/>
          <w:sz w:val="44"/>
          <w:szCs w:val="44"/>
          <w:lang w:bidi="ar"/>
        </w:rPr>
        <w:t>中国大唐集团有限公司</w:t>
      </w:r>
    </w:p>
    <w:p w14:paraId="347F356C">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lang w:bidi="ar"/>
        </w:rPr>
      </w:pPr>
      <w:r>
        <w:rPr>
          <w:rFonts w:hint="eastAsia" w:ascii="方正小标宋简体" w:hAnsi="方正小标宋简体" w:eastAsia="方正小标宋简体" w:cs="方正小标宋简体"/>
          <w:b w:val="0"/>
          <w:bCs/>
          <w:sz w:val="44"/>
          <w:szCs w:val="44"/>
          <w:lang w:val="en-US" w:eastAsia="zh-CN" w:bidi="ar"/>
        </w:rPr>
        <w:t>“大唐e燃料”小程序</w:t>
      </w:r>
      <w:r>
        <w:rPr>
          <w:rFonts w:hint="eastAsia" w:ascii="方正小标宋简体" w:hAnsi="方正小标宋简体" w:eastAsia="方正小标宋简体" w:cs="方正小标宋简体"/>
          <w:b w:val="0"/>
          <w:bCs/>
          <w:sz w:val="44"/>
          <w:szCs w:val="44"/>
          <w:lang w:bidi="ar"/>
        </w:rPr>
        <w:t>操作手册</w:t>
      </w:r>
    </w:p>
    <w:p w14:paraId="78F13D43">
      <w:pPr>
        <w:jc w:val="both"/>
        <w:rPr>
          <w:rFonts w:hint="eastAsia" w:cs="宋体"/>
          <w:b/>
          <w:sz w:val="52"/>
          <w:szCs w:val="52"/>
          <w:lang w:val="en-US" w:eastAsia="zh-CN" w:bidi="ar"/>
        </w:rPr>
      </w:pPr>
    </w:p>
    <w:p w14:paraId="5C0D9F12">
      <w:pPr>
        <w:jc w:val="center"/>
        <w:rPr>
          <w:rFonts w:hint="eastAsia" w:ascii="楷体_GB2312" w:hAnsi="楷体_GB2312" w:eastAsia="楷体_GB2312" w:cs="楷体_GB2312"/>
          <w:b/>
          <w:bCs w:val="0"/>
          <w:sz w:val="32"/>
          <w:szCs w:val="32"/>
          <w:lang w:val="en-US" w:eastAsia="zh-CN" w:bidi="ar"/>
        </w:rPr>
      </w:pPr>
    </w:p>
    <w:p w14:paraId="095C37A1">
      <w:pPr>
        <w:jc w:val="center"/>
        <w:rPr>
          <w:rFonts w:hint="eastAsia" w:ascii="楷体_GB2312" w:hAnsi="楷体_GB2312" w:eastAsia="楷体_GB2312" w:cs="楷体_GB2312"/>
          <w:b/>
          <w:bCs w:val="0"/>
          <w:sz w:val="32"/>
          <w:szCs w:val="32"/>
          <w:lang w:val="en-US" w:eastAsia="zh-CN" w:bidi="ar"/>
        </w:rPr>
      </w:pPr>
    </w:p>
    <w:p w14:paraId="672DADBB">
      <w:pPr>
        <w:jc w:val="center"/>
        <w:rPr>
          <w:rFonts w:hint="eastAsia" w:ascii="楷体_GB2312" w:hAnsi="楷体_GB2312" w:eastAsia="楷体_GB2312" w:cs="楷体_GB2312"/>
          <w:b/>
          <w:bCs w:val="0"/>
          <w:sz w:val="32"/>
          <w:szCs w:val="32"/>
          <w:lang w:val="en-US" w:eastAsia="zh-CN" w:bidi="ar"/>
        </w:rPr>
      </w:pPr>
    </w:p>
    <w:p w14:paraId="4980FDE8">
      <w:pPr>
        <w:jc w:val="center"/>
        <w:rPr>
          <w:rFonts w:hint="eastAsia" w:ascii="楷体_GB2312" w:hAnsi="楷体_GB2312" w:eastAsia="楷体_GB2312" w:cs="楷体_GB2312"/>
          <w:b/>
          <w:bCs w:val="0"/>
          <w:sz w:val="32"/>
          <w:szCs w:val="32"/>
          <w:lang w:val="en-US" w:eastAsia="zh-CN" w:bidi="ar"/>
        </w:rPr>
      </w:pPr>
    </w:p>
    <w:p w14:paraId="54639B73">
      <w:pPr>
        <w:jc w:val="center"/>
        <w:rPr>
          <w:rFonts w:hint="eastAsia" w:ascii="楷体_GB2312" w:hAnsi="楷体_GB2312" w:eastAsia="楷体_GB2312" w:cs="楷体_GB2312"/>
          <w:b/>
          <w:bCs w:val="0"/>
          <w:sz w:val="32"/>
          <w:szCs w:val="32"/>
          <w:lang w:val="en-US" w:eastAsia="zh-CN" w:bidi="ar"/>
        </w:rPr>
      </w:pPr>
    </w:p>
    <w:p w14:paraId="0A22CEA8">
      <w:pPr>
        <w:jc w:val="center"/>
        <w:rPr>
          <w:rFonts w:hint="eastAsia" w:ascii="楷体_GB2312" w:hAnsi="楷体_GB2312" w:eastAsia="楷体_GB2312" w:cs="楷体_GB2312"/>
          <w:b/>
          <w:bCs w:val="0"/>
          <w:sz w:val="32"/>
          <w:szCs w:val="32"/>
          <w:lang w:val="en-US" w:eastAsia="zh-CN" w:bidi="ar"/>
        </w:rPr>
      </w:pPr>
    </w:p>
    <w:p w14:paraId="324B4DBF">
      <w:pPr>
        <w:jc w:val="both"/>
        <w:rPr>
          <w:rFonts w:hint="eastAsia" w:ascii="楷体_GB2312" w:hAnsi="楷体_GB2312" w:eastAsia="楷体_GB2312" w:cs="楷体_GB2312"/>
          <w:b/>
          <w:bCs w:val="0"/>
          <w:sz w:val="32"/>
          <w:szCs w:val="32"/>
          <w:lang w:val="en-US" w:eastAsia="zh-CN" w:bidi="ar"/>
        </w:rPr>
      </w:pPr>
    </w:p>
    <w:p w14:paraId="761BF76E">
      <w:pPr>
        <w:jc w:val="center"/>
        <w:rPr>
          <w:rFonts w:hint="eastAsia" w:ascii="楷体_GB2312" w:hAnsi="楷体_GB2312" w:eastAsia="楷体_GB2312" w:cs="楷体_GB2312"/>
          <w:b/>
          <w:bCs w:val="0"/>
          <w:sz w:val="32"/>
          <w:szCs w:val="32"/>
          <w:lang w:val="en-US" w:eastAsia="zh-CN" w:bidi="ar"/>
        </w:rPr>
      </w:pPr>
    </w:p>
    <w:p w14:paraId="103CDD0B">
      <w:pPr>
        <w:jc w:val="center"/>
        <w:rPr>
          <w:rFonts w:hint="eastAsia" w:ascii="楷体_GB2312" w:hAnsi="楷体_GB2312" w:eastAsia="楷体_GB2312" w:cs="楷体_GB2312"/>
          <w:b/>
          <w:bCs w:val="0"/>
          <w:sz w:val="32"/>
          <w:szCs w:val="32"/>
          <w:lang w:val="en-US" w:eastAsia="zh-CN" w:bidi="ar"/>
        </w:rPr>
      </w:pPr>
      <w:r>
        <w:rPr>
          <w:rFonts w:hint="eastAsia" w:ascii="楷体_GB2312" w:hAnsi="楷体_GB2312" w:eastAsia="楷体_GB2312" w:cs="楷体_GB2312"/>
          <w:b/>
          <w:bCs w:val="0"/>
          <w:sz w:val="32"/>
          <w:szCs w:val="32"/>
          <w:lang w:val="en-US" w:eastAsia="zh-CN" w:bidi="ar"/>
        </w:rPr>
        <w:t>2025年11月</w:t>
      </w:r>
    </w:p>
    <w:p w14:paraId="43230A9A">
      <w:pPr>
        <w:rPr>
          <w:rFonts w:hint="eastAsia" w:cs="宋体"/>
          <w:b/>
          <w:sz w:val="52"/>
          <w:szCs w:val="52"/>
          <w:lang w:val="en-US" w:eastAsia="zh-CN" w:bidi="ar"/>
        </w:rPr>
      </w:pPr>
      <w:r>
        <w:rPr>
          <w:rFonts w:hint="eastAsia" w:cs="宋体"/>
          <w:b/>
          <w:sz w:val="52"/>
          <w:szCs w:val="52"/>
          <w:lang w:val="en-US" w:eastAsia="zh-CN" w:bidi="ar"/>
        </w:rPr>
        <w:br w:type="page"/>
      </w:r>
    </w:p>
    <w:p w14:paraId="714E8293">
      <w:pPr>
        <w:ind w:right="0" w:rightChars="0" w:firstLine="640" w:firstLineChars="200"/>
        <w:outlineLvl w:val="0"/>
        <w:rPr>
          <w:rFonts w:hint="eastAsia" w:ascii="黑体" w:hAnsi="黑体" w:eastAsia="黑体" w:cs="黑体"/>
          <w:b w:val="0"/>
          <w:bCs w:val="0"/>
          <w:sz w:val="32"/>
          <w:szCs w:val="32"/>
        </w:rPr>
      </w:pPr>
      <w:bookmarkStart w:id="0" w:name="_Toc6650879"/>
      <w:bookmarkStart w:id="1" w:name="_Toc17790566"/>
      <w:bookmarkStart w:id="2" w:name="_Toc19760"/>
      <w:r>
        <w:rPr>
          <w:rFonts w:hint="eastAsia" w:ascii="黑体" w:hAnsi="黑体" w:eastAsia="黑体" w:cs="黑体"/>
          <w:b w:val="0"/>
          <w:bCs w:val="0"/>
          <w:sz w:val="32"/>
          <w:szCs w:val="32"/>
          <w:lang w:val="en-US" w:eastAsia="zh-CN"/>
        </w:rPr>
        <w:t>一、文档</w:t>
      </w:r>
      <w:r>
        <w:rPr>
          <w:rFonts w:hint="eastAsia" w:ascii="黑体" w:hAnsi="黑体" w:eastAsia="黑体" w:cs="黑体"/>
          <w:b w:val="0"/>
          <w:bCs w:val="0"/>
          <w:sz w:val="32"/>
          <w:szCs w:val="32"/>
        </w:rPr>
        <w:t>简介</w:t>
      </w:r>
      <w:bookmarkEnd w:id="0"/>
      <w:bookmarkEnd w:id="1"/>
      <w:bookmarkEnd w:id="2"/>
    </w:p>
    <w:p w14:paraId="7BCA7DC8">
      <w:pPr>
        <w:pStyle w:val="11"/>
        <w:widowControl/>
        <w:numPr>
          <w:numId w:val="0"/>
        </w:numPr>
        <w:autoSpaceDE/>
        <w:autoSpaceDN/>
        <w:spacing w:before="0" w:after="0" w:line="360" w:lineRule="auto"/>
        <w:ind w:leftChars="200" w:right="0" w:rightChars="0"/>
        <w:jc w:val="both"/>
        <w:outlineLvl w:val="1"/>
        <w:rPr>
          <w:rFonts w:hint="eastAsia" w:cs="Times New Roman"/>
          <w:b/>
          <w:bCs/>
          <w:kern w:val="2"/>
          <w:sz w:val="28"/>
          <w:szCs w:val="28"/>
          <w:lang w:val="en-US" w:eastAsia="zh-CN"/>
        </w:rPr>
      </w:pPr>
      <w:r>
        <w:rPr>
          <w:rFonts w:hint="eastAsia" w:cs="Times New Roman"/>
          <w:b/>
          <w:bCs/>
          <w:kern w:val="2"/>
          <w:sz w:val="28"/>
          <w:szCs w:val="28"/>
          <w:lang w:val="en-US" w:eastAsia="zh-CN"/>
        </w:rPr>
        <w:t>（一）手册目的</w:t>
      </w:r>
    </w:p>
    <w:p w14:paraId="2824DB0C">
      <w:pPr>
        <w:pStyle w:val="11"/>
        <w:autoSpaceDE/>
        <w:autoSpaceDN/>
        <w:spacing w:before="0" w:after="0" w:line="360" w:lineRule="auto"/>
        <w:ind w:left="0" w:right="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旨在帮助新用户快速上手并使用本小程序的核心功能。</w:t>
      </w:r>
    </w:p>
    <w:p w14:paraId="6098B6B9">
      <w:pPr>
        <w:pStyle w:val="11"/>
        <w:autoSpaceDE/>
        <w:autoSpaceDN/>
        <w:spacing w:before="0" w:after="0" w:line="360" w:lineRule="auto"/>
        <w:ind w:left="0" w:right="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为现有用户提供功能详解和常见问题解答，提升使用体验。</w:t>
      </w:r>
    </w:p>
    <w:p w14:paraId="6071AD82">
      <w:pPr>
        <w:pStyle w:val="11"/>
        <w:widowControl/>
        <w:numPr>
          <w:numId w:val="0"/>
        </w:numPr>
        <w:autoSpaceDE/>
        <w:autoSpaceDN/>
        <w:spacing w:before="0" w:after="0" w:line="360" w:lineRule="auto"/>
        <w:ind w:leftChars="200" w:right="0" w:rightChars="0"/>
        <w:jc w:val="both"/>
        <w:outlineLvl w:val="1"/>
        <w:rPr>
          <w:rFonts w:hint="eastAsia" w:cs="Times New Roman"/>
          <w:b/>
          <w:bCs/>
          <w:kern w:val="2"/>
          <w:sz w:val="28"/>
          <w:szCs w:val="28"/>
          <w:lang w:val="en-US" w:eastAsia="zh-CN"/>
        </w:rPr>
      </w:pPr>
      <w:r>
        <w:rPr>
          <w:rFonts w:hint="eastAsia" w:cs="Times New Roman"/>
          <w:b/>
          <w:bCs/>
          <w:kern w:val="2"/>
          <w:sz w:val="28"/>
          <w:szCs w:val="28"/>
          <w:lang w:val="en-US" w:eastAsia="zh-CN"/>
        </w:rPr>
        <w:t>（二）小程序简介</w:t>
      </w:r>
    </w:p>
    <w:p w14:paraId="07528C53">
      <w:pPr>
        <w:pStyle w:val="11"/>
        <w:autoSpaceDE/>
        <w:autoSpaceDN/>
        <w:spacing w:before="0" w:after="0" w:line="360" w:lineRule="auto"/>
        <w:ind w:left="0" w:right="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本小程序是一个专注于中国大唐集团有限公司燃料业务统一管控平台系统合同的验真反馈平台，为您提供合同验真、高效投诉与建议结合的服务平台。</w:t>
      </w:r>
    </w:p>
    <w:p w14:paraId="1DB0BF23">
      <w:pPr>
        <w:numPr>
          <w:numId w:val="0"/>
        </w:numPr>
        <w:ind w:right="0" w:rightChars="0" w:firstLine="640" w:firstLineChars="200"/>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二、开始使用</w:t>
      </w:r>
    </w:p>
    <w:p w14:paraId="55CAEFC5">
      <w:pPr>
        <w:pStyle w:val="11"/>
        <w:widowControl/>
        <w:numPr>
          <w:numId w:val="0"/>
        </w:numPr>
        <w:autoSpaceDE/>
        <w:autoSpaceDN/>
        <w:spacing w:before="0" w:after="0" w:line="360" w:lineRule="auto"/>
        <w:ind w:leftChars="200" w:right="0" w:rightChars="0"/>
        <w:jc w:val="both"/>
        <w:outlineLvl w:val="1"/>
        <w:rPr>
          <w:rFonts w:hint="eastAsia" w:cs="Times New Roman"/>
          <w:b/>
          <w:bCs/>
          <w:kern w:val="2"/>
          <w:sz w:val="28"/>
          <w:szCs w:val="28"/>
          <w:lang w:val="en-US" w:eastAsia="zh-CN"/>
        </w:rPr>
      </w:pPr>
      <w:r>
        <w:rPr>
          <w:rFonts w:hint="eastAsia" w:cs="Times New Roman"/>
          <w:b/>
          <w:bCs/>
          <w:kern w:val="2"/>
          <w:sz w:val="28"/>
          <w:szCs w:val="28"/>
          <w:lang w:val="en-US" w:eastAsia="zh-CN"/>
        </w:rPr>
        <w:t>（一）访问入口</w:t>
      </w:r>
    </w:p>
    <w:p w14:paraId="146802EB">
      <w:pPr>
        <w:pStyle w:val="11"/>
        <w:autoSpaceDE/>
        <w:autoSpaceDN/>
        <w:spacing w:before="0" w:after="0" w:line="360" w:lineRule="auto"/>
        <w:ind w:left="0" w:right="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方式一：微信扫一扫</w:t>
      </w:r>
      <w:bookmarkStart w:id="3" w:name="_GoBack"/>
      <w:bookmarkEnd w:id="3"/>
    </w:p>
    <w:p w14:paraId="51B603CF">
      <w:pPr>
        <w:pStyle w:val="11"/>
        <w:widowControl/>
        <w:numPr>
          <w:ilvl w:val="0"/>
          <w:numId w:val="0"/>
        </w:numPr>
        <w:autoSpaceDE/>
        <w:autoSpaceDN/>
        <w:spacing w:before="0" w:after="0" w:line="360" w:lineRule="auto"/>
        <w:ind w:leftChars="200" w:right="0" w:rightChars="0"/>
        <w:jc w:val="center"/>
        <w:outlineLvl w:val="9"/>
        <w:rPr>
          <w:rFonts w:hint="default" w:cs="Times New Roman"/>
          <w:b/>
          <w:bCs/>
          <w:kern w:val="2"/>
          <w:sz w:val="21"/>
          <w:lang w:val="en-US" w:eastAsia="zh-CN"/>
        </w:rPr>
      </w:pPr>
      <w:r>
        <w:rPr>
          <w:rFonts w:ascii="宋体" w:hAnsi="宋体" w:eastAsia="宋体" w:cs="宋体"/>
          <w:sz w:val="24"/>
          <w:szCs w:val="24"/>
        </w:rPr>
        <w:drawing>
          <wp:inline distT="0" distB="0" distL="114300" distR="114300">
            <wp:extent cx="4743450" cy="3124200"/>
            <wp:effectExtent l="0" t="0" r="635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4743450" cy="3124200"/>
                    </a:xfrm>
                    <a:prstGeom prst="rect">
                      <a:avLst/>
                    </a:prstGeom>
                    <a:noFill/>
                    <a:ln w="9525">
                      <a:noFill/>
                    </a:ln>
                  </pic:spPr>
                </pic:pic>
              </a:graphicData>
            </a:graphic>
          </wp:inline>
        </w:drawing>
      </w:r>
    </w:p>
    <w:p w14:paraId="0E7FFEEB">
      <w:pPr>
        <w:pStyle w:val="11"/>
        <w:autoSpaceDE/>
        <w:autoSpaceDN/>
        <w:spacing w:before="0" w:after="0" w:line="360" w:lineRule="auto"/>
        <w:ind w:left="0" w:leftChars="0" w:right="0" w:firstLine="0" w:firstLineChars="0"/>
        <w:jc w:val="both"/>
        <w:rPr>
          <w:rFonts w:hint="default" w:ascii="仿宋" w:hAnsi="仿宋" w:eastAsia="仿宋" w:cs="仿宋"/>
          <w:kern w:val="2"/>
          <w:sz w:val="24"/>
          <w:szCs w:val="24"/>
          <w:lang w:val="en-US" w:eastAsia="zh-CN"/>
        </w:rPr>
      </w:pPr>
    </w:p>
    <w:p w14:paraId="1A5FC94C">
      <w:pPr>
        <w:pStyle w:val="11"/>
        <w:autoSpaceDE/>
        <w:autoSpaceDN/>
        <w:spacing w:before="0" w:after="0" w:line="360" w:lineRule="auto"/>
        <w:ind w:left="0" w:right="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方式二：微信搜索 -&gt; 在顶部搜索框输入“[大唐e燃料]”</w:t>
      </w:r>
    </w:p>
    <w:p w14:paraId="6835E2E7">
      <w:pPr>
        <w:pStyle w:val="11"/>
        <w:widowControl/>
        <w:numPr>
          <w:numId w:val="0"/>
        </w:numPr>
        <w:autoSpaceDE/>
        <w:autoSpaceDN/>
        <w:spacing w:before="0" w:after="0" w:line="360" w:lineRule="auto"/>
        <w:ind w:leftChars="200" w:right="0" w:rightChars="0"/>
        <w:jc w:val="both"/>
        <w:outlineLvl w:val="1"/>
        <w:rPr>
          <w:rFonts w:hint="eastAsia" w:ascii="Calibri" w:hAnsi="Calibri" w:eastAsia="宋体" w:cs="Times New Roman"/>
          <w:b/>
          <w:bCs/>
          <w:kern w:val="2"/>
          <w:sz w:val="28"/>
          <w:szCs w:val="28"/>
          <w:lang w:val="en-US" w:eastAsia="zh-CN" w:bidi="ar-SA"/>
        </w:rPr>
      </w:pPr>
      <w:r>
        <w:rPr>
          <w:rFonts w:hint="eastAsia" w:cs="Times New Roman"/>
          <w:b/>
          <w:bCs/>
          <w:kern w:val="2"/>
          <w:sz w:val="28"/>
          <w:szCs w:val="28"/>
          <w:lang w:val="en-US" w:eastAsia="zh-CN" w:bidi="ar-SA"/>
        </w:rPr>
        <w:t>登录方式</w:t>
      </w:r>
    </w:p>
    <w:p w14:paraId="5E25C986">
      <w:pPr>
        <w:pStyle w:val="11"/>
        <w:autoSpaceDE/>
        <w:autoSpaceDN/>
        <w:spacing w:before="0" w:after="0" w:line="360" w:lineRule="auto"/>
        <w:ind w:left="0" w:leftChars="0" w:right="0" w:rightChars="0" w:firstLine="480" w:firstLineChars="200"/>
        <w:jc w:val="both"/>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供应商登录：通过11位手机号码获取验证码通过后进行登录，如手机号未注册供应商相关信息则会提示“供应商不存在”（供应商登录手机号为燃料业务统一管控平台系统供应商库中留存的联系电话）</w:t>
      </w:r>
    </w:p>
    <w:p w14:paraId="215B662C">
      <w:pPr>
        <w:pStyle w:val="11"/>
        <w:autoSpaceDE/>
        <w:autoSpaceDN/>
        <w:spacing w:before="0" w:after="0" w:line="360" w:lineRule="auto"/>
        <w:ind w:left="0" w:right="0"/>
        <w:jc w:val="center"/>
        <w:rPr>
          <w:rFonts w:hint="eastAsia" w:ascii="仿宋" w:hAnsi="仿宋" w:eastAsia="仿宋" w:cs="仿宋"/>
          <w:kern w:val="2"/>
          <w:sz w:val="24"/>
          <w:szCs w:val="24"/>
          <w:lang w:val="en-US" w:eastAsia="zh-CN"/>
        </w:rPr>
      </w:pPr>
      <w:r>
        <w:drawing>
          <wp:inline distT="0" distB="0" distL="114300" distR="114300">
            <wp:extent cx="4220210" cy="3668395"/>
            <wp:effectExtent l="0" t="0" r="889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4220210" cy="3668395"/>
                    </a:xfrm>
                    <a:prstGeom prst="rect">
                      <a:avLst/>
                    </a:prstGeom>
                    <a:noFill/>
                    <a:ln>
                      <a:noFill/>
                    </a:ln>
                  </pic:spPr>
                </pic:pic>
              </a:graphicData>
            </a:graphic>
          </wp:inline>
        </w:drawing>
      </w:r>
    </w:p>
    <w:p w14:paraId="32A7CEED">
      <w:pPr>
        <w:pStyle w:val="11"/>
        <w:widowControl/>
        <w:numPr>
          <w:numId w:val="0"/>
        </w:numPr>
        <w:autoSpaceDE/>
        <w:autoSpaceDN/>
        <w:spacing w:before="0" w:after="0" w:line="360" w:lineRule="auto"/>
        <w:ind w:right="0" w:rightChars="0" w:firstLine="562" w:firstLineChars="200"/>
        <w:jc w:val="both"/>
        <w:outlineLvl w:val="1"/>
        <w:rPr>
          <w:rFonts w:hint="default" w:cs="Times New Roman"/>
          <w:b/>
          <w:bCs/>
          <w:kern w:val="2"/>
          <w:sz w:val="28"/>
          <w:szCs w:val="28"/>
          <w:lang w:val="en-US" w:eastAsia="zh-CN"/>
        </w:rPr>
      </w:pPr>
      <w:r>
        <w:rPr>
          <w:rFonts w:hint="eastAsia" w:cs="Times New Roman"/>
          <w:b/>
          <w:bCs/>
          <w:kern w:val="2"/>
          <w:sz w:val="28"/>
          <w:szCs w:val="28"/>
          <w:lang w:val="en-US" w:eastAsia="zh-CN"/>
        </w:rPr>
        <w:t>界面概览</w:t>
      </w:r>
    </w:p>
    <w:p w14:paraId="6AC5C8A4">
      <w:pPr>
        <w:pStyle w:val="11"/>
        <w:widowControl/>
        <w:numPr>
          <w:ilvl w:val="0"/>
          <w:numId w:val="0"/>
        </w:numPr>
        <w:autoSpaceDE/>
        <w:autoSpaceDN/>
        <w:spacing w:before="0" w:after="0" w:line="360" w:lineRule="auto"/>
        <w:ind w:leftChars="200" w:right="0" w:rightChars="0"/>
        <w:jc w:val="center"/>
        <w:outlineLvl w:val="9"/>
        <w:rPr>
          <w:rFonts w:hint="eastAsia" w:ascii="宋体" w:hAnsi="宋体" w:cs="Times New Roman"/>
          <w:kern w:val="2"/>
          <w:sz w:val="21"/>
          <w:lang w:val="en-US" w:eastAsia="zh-CN"/>
        </w:rPr>
      </w:pPr>
      <w:r>
        <w:drawing>
          <wp:inline distT="0" distB="0" distL="114300" distR="114300">
            <wp:extent cx="5267325" cy="1948815"/>
            <wp:effectExtent l="0" t="0" r="3175"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267325" cy="1948815"/>
                    </a:xfrm>
                    <a:prstGeom prst="rect">
                      <a:avLst/>
                    </a:prstGeom>
                    <a:noFill/>
                    <a:ln>
                      <a:noFill/>
                    </a:ln>
                  </pic:spPr>
                </pic:pic>
              </a:graphicData>
            </a:graphic>
          </wp:inline>
        </w:drawing>
      </w:r>
    </w:p>
    <w:p w14:paraId="69B255C1">
      <w:pPr>
        <w:numPr>
          <w:numId w:val="0"/>
        </w:numPr>
        <w:ind w:right="0" w:rightChars="0" w:firstLine="640" w:firstLineChars="200"/>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三、功能介绍</w:t>
      </w:r>
    </w:p>
    <w:p w14:paraId="61685627">
      <w:pPr>
        <w:numPr>
          <w:numId w:val="0"/>
        </w:numPr>
        <w:ind w:leftChars="0" w:right="0" w:rightChars="0" w:firstLine="640" w:firstLineChars="200"/>
        <w:outlineLvl w:val="2"/>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（一）合同验真</w:t>
      </w:r>
    </w:p>
    <w:p w14:paraId="592C13DB">
      <w:pPr>
        <w:pStyle w:val="11"/>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可无需登录使用访客用户进入首页的合同验真模块，输入“合同类型”“合同编号”、“出卖人”、“买受人”、“合同量”、及随机“验证码”后点击立即查询。（不支持模糊查询，要求信息填写完整）</w:t>
      </w:r>
      <w:r>
        <w:rPr>
          <w:rFonts w:hint="eastAsia" w:ascii="仿宋" w:hAnsi="仿宋" w:eastAsia="仿宋" w:cs="仿宋"/>
          <w:kern w:val="2"/>
          <w:sz w:val="24"/>
          <w:szCs w:val="24"/>
          <w:lang w:val="en-US" w:eastAsia="zh-CN"/>
        </w:rPr>
        <w:tab/>
      </w:r>
    </w:p>
    <w:p w14:paraId="2B4D8CBA">
      <w:pPr>
        <w:numPr>
          <w:ilvl w:val="0"/>
          <w:numId w:val="0"/>
        </w:numPr>
        <w:ind w:leftChars="0" w:right="0" w:rightChars="0"/>
        <w:jc w:val="center"/>
        <w:outlineLvl w:val="9"/>
      </w:pPr>
      <w:r>
        <w:drawing>
          <wp:inline distT="0" distB="0" distL="114300" distR="114300">
            <wp:extent cx="5266055" cy="2451735"/>
            <wp:effectExtent l="0" t="0" r="4445" b="1206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0"/>
                    <a:stretch>
                      <a:fillRect/>
                    </a:stretch>
                  </pic:blipFill>
                  <pic:spPr>
                    <a:xfrm>
                      <a:off x="0" y="0"/>
                      <a:ext cx="5266055" cy="2451735"/>
                    </a:xfrm>
                    <a:prstGeom prst="rect">
                      <a:avLst/>
                    </a:prstGeom>
                    <a:noFill/>
                    <a:ln>
                      <a:noFill/>
                    </a:ln>
                  </pic:spPr>
                </pic:pic>
              </a:graphicData>
            </a:graphic>
          </wp:inline>
        </w:drawing>
      </w:r>
    </w:p>
    <w:p w14:paraId="53FC958F">
      <w:pPr>
        <w:pStyle w:val="11"/>
        <w:autoSpaceDE/>
        <w:autoSpaceDN/>
        <w:spacing w:before="0" w:after="0" w:line="360" w:lineRule="auto"/>
        <w:ind w:left="0" w:leftChars="0" w:right="0" w:rightChars="0" w:firstLine="480" w:firstLineChars="200"/>
        <w:jc w:val="both"/>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将根据选填信息返回多种结果：</w:t>
      </w:r>
    </w:p>
    <w:p w14:paraId="09993747">
      <w:pPr>
        <w:pStyle w:val="11"/>
        <w:autoSpaceDE/>
        <w:autoSpaceDN/>
        <w:spacing w:before="0" w:after="0" w:line="360" w:lineRule="auto"/>
        <w:ind w:left="0" w:leftChars="0" w:right="0" w:rightChars="0" w:firstLine="480" w:firstLineChars="200"/>
        <w:jc w:val="both"/>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1、如合同属实将显示相关合同信息及提示。</w:t>
      </w:r>
    </w:p>
    <w:p w14:paraId="11508E22">
      <w:pPr>
        <w:pStyle w:val="11"/>
        <w:numPr>
          <w:ilvl w:val="0"/>
          <w:numId w:val="1"/>
        </w:numPr>
        <w:autoSpaceDE/>
        <w:autoSpaceDN/>
        <w:spacing w:before="0" w:after="0" w:line="360" w:lineRule="auto"/>
        <w:ind w:left="0" w:leftChars="0" w:right="0" w:rightChars="0" w:firstLine="480" w:firstLineChars="200"/>
        <w:jc w:val="both"/>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合同量输入错误或与实际签订存在失真的情况，将会提示“感谢与大唐集团合作，经核实存在合同，真实合同量与输入内容不一致，请核实”</w:t>
      </w:r>
    </w:p>
    <w:p w14:paraId="17C05568">
      <w:pPr>
        <w:pStyle w:val="11"/>
        <w:numPr>
          <w:ilvl w:val="0"/>
          <w:numId w:val="1"/>
        </w:numPr>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合同类型、合同编号、出卖人、买受人填写错误则会提示“不存在此合同”</w:t>
      </w:r>
    </w:p>
    <w:p w14:paraId="7516B7A1">
      <w:pPr>
        <w:numPr>
          <w:numId w:val="0"/>
        </w:numPr>
        <w:ind w:leftChars="0" w:right="0" w:rightChars="0" w:firstLine="640" w:firstLineChars="200"/>
        <w:outlineLvl w:val="2"/>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（二）投诉</w:t>
      </w:r>
    </w:p>
    <w:p w14:paraId="0EBCD1DB">
      <w:pPr>
        <w:pStyle w:val="11"/>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投诉界面分为：全部、进行中、已处理、草稿，可根据需求自行选择操作查询。</w:t>
      </w:r>
    </w:p>
    <w:p w14:paraId="6A8FBB89">
      <w:pPr>
        <w:numPr>
          <w:ilvl w:val="0"/>
          <w:numId w:val="0"/>
        </w:numPr>
        <w:ind w:right="0" w:rightChars="0" w:firstLine="640" w:firstLineChars="200"/>
        <w:outlineLvl w:val="3"/>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1.发起投诉</w:t>
      </w:r>
    </w:p>
    <w:p w14:paraId="4CBBDA1C">
      <w:pPr>
        <w:pStyle w:val="11"/>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点击“+”新增按钮，进入界面填写“被投诉单位”“希望受理单位”“合同编号”“投诉描述”“上传附件”等信息进行保存或提交（保存状态的记录可通过重新点击进入编辑或提交）</w:t>
      </w:r>
    </w:p>
    <w:p w14:paraId="1CABCA3E">
      <w:pPr>
        <w:numPr>
          <w:ilvl w:val="0"/>
          <w:numId w:val="0"/>
        </w:numPr>
        <w:ind w:leftChars="0" w:right="0" w:rightChars="0"/>
        <w:jc w:val="center"/>
        <w:outlineLvl w:val="9"/>
      </w:pPr>
      <w:r>
        <w:drawing>
          <wp:inline distT="0" distB="0" distL="114300" distR="114300">
            <wp:extent cx="3688080" cy="3750945"/>
            <wp:effectExtent l="0" t="0" r="762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688080" cy="3750945"/>
                    </a:xfrm>
                    <a:prstGeom prst="rect">
                      <a:avLst/>
                    </a:prstGeom>
                    <a:noFill/>
                    <a:ln>
                      <a:noFill/>
                    </a:ln>
                  </pic:spPr>
                </pic:pic>
              </a:graphicData>
            </a:graphic>
          </wp:inline>
        </w:drawing>
      </w:r>
    </w:p>
    <w:p w14:paraId="2FE0EA4C">
      <w:pPr>
        <w:numPr>
          <w:ilvl w:val="0"/>
          <w:numId w:val="0"/>
        </w:numPr>
        <w:ind w:right="0" w:rightChars="0" w:firstLine="640" w:firstLineChars="200"/>
        <w:outlineLvl w:val="3"/>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2.查看投诉</w:t>
      </w:r>
    </w:p>
    <w:p w14:paraId="290B8753">
      <w:pPr>
        <w:pStyle w:val="11"/>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点击进行中或已处理的单据进行投诉记录查看</w:t>
      </w:r>
    </w:p>
    <w:p w14:paraId="2844962F">
      <w:pPr>
        <w:numPr>
          <w:ilvl w:val="0"/>
          <w:numId w:val="0"/>
        </w:numPr>
        <w:ind w:right="0" w:rightChars="0"/>
        <w:jc w:val="center"/>
        <w:outlineLvl w:val="9"/>
        <w:rPr>
          <w:rFonts w:hint="default" w:ascii="黑体" w:hAnsi="黑体" w:eastAsia="黑体" w:cs="黑体"/>
          <w:b w:val="0"/>
          <w:bCs w:val="0"/>
          <w:sz w:val="32"/>
          <w:szCs w:val="32"/>
          <w:lang w:val="en-US" w:eastAsia="zh-CN"/>
        </w:rPr>
      </w:pPr>
      <w:r>
        <w:drawing>
          <wp:inline distT="0" distB="0" distL="114300" distR="114300">
            <wp:extent cx="3658870" cy="3717925"/>
            <wp:effectExtent l="0" t="0" r="1778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3658870" cy="3717925"/>
                    </a:xfrm>
                    <a:prstGeom prst="rect">
                      <a:avLst/>
                    </a:prstGeom>
                    <a:noFill/>
                    <a:ln>
                      <a:noFill/>
                    </a:ln>
                  </pic:spPr>
                </pic:pic>
              </a:graphicData>
            </a:graphic>
          </wp:inline>
        </w:drawing>
      </w:r>
    </w:p>
    <w:p w14:paraId="631BF7FF">
      <w:pPr>
        <w:numPr>
          <w:numId w:val="0"/>
        </w:numPr>
        <w:ind w:right="0" w:rightChars="0" w:firstLine="640" w:firstLineChars="200"/>
        <w:outlineLvl w:val="2"/>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（三）建议</w:t>
      </w:r>
    </w:p>
    <w:p w14:paraId="65673F0D">
      <w:pPr>
        <w:numPr>
          <w:ilvl w:val="0"/>
          <w:numId w:val="0"/>
        </w:numPr>
        <w:ind w:right="0" w:rightChars="0" w:firstLine="640" w:firstLineChars="200"/>
        <w:outlineLvl w:val="3"/>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1.发表建议</w:t>
      </w:r>
    </w:p>
    <w:p w14:paraId="19B4B002">
      <w:pPr>
        <w:pStyle w:val="11"/>
        <w:autoSpaceDE/>
        <w:autoSpaceDN/>
        <w:spacing w:before="0" w:after="0" w:line="360" w:lineRule="auto"/>
        <w:ind w:left="0" w:leftChars="0" w:right="0" w:rightChars="0" w:firstLine="480" w:firstLineChars="200"/>
        <w:jc w:val="both"/>
        <w:outlineLvl w:val="9"/>
        <w:rPr>
          <w:rFonts w:hint="eastAsia" w:ascii="黑体" w:hAnsi="黑体" w:eastAsia="黑体" w:cs="黑体"/>
          <w:b w:val="0"/>
          <w:bCs w:val="0"/>
          <w:sz w:val="32"/>
          <w:szCs w:val="32"/>
          <w:lang w:val="en-US" w:eastAsia="zh-CN"/>
        </w:rPr>
      </w:pPr>
      <w:r>
        <w:rPr>
          <w:rFonts w:hint="eastAsia" w:ascii="仿宋" w:hAnsi="仿宋" w:eastAsia="仿宋" w:cs="仿宋"/>
          <w:kern w:val="2"/>
          <w:sz w:val="24"/>
          <w:szCs w:val="24"/>
          <w:lang w:val="en-US" w:eastAsia="zh-CN"/>
        </w:rPr>
        <w:t>点击“+”新增按钮，进入界面填写“建议接收单位”“建议内容”“上传附件”等信息进行保存或提交（保存状态的记录可通过重新点击进入编辑或提交）</w:t>
      </w:r>
    </w:p>
    <w:p w14:paraId="3F58F17E">
      <w:pPr>
        <w:numPr>
          <w:ilvl w:val="0"/>
          <w:numId w:val="0"/>
        </w:numPr>
        <w:ind w:right="0" w:rightChars="0"/>
        <w:jc w:val="both"/>
        <w:outlineLvl w:val="9"/>
        <w:rPr>
          <w:rFonts w:hint="default" w:ascii="黑体" w:hAnsi="黑体" w:eastAsia="黑体" w:cs="黑体"/>
          <w:b w:val="0"/>
          <w:bCs w:val="0"/>
          <w:sz w:val="32"/>
          <w:szCs w:val="32"/>
          <w:lang w:val="en-US" w:eastAsia="zh-CN"/>
        </w:rPr>
      </w:pPr>
      <w:r>
        <w:drawing>
          <wp:inline distT="0" distB="0" distL="114300" distR="114300">
            <wp:extent cx="4726940" cy="3474085"/>
            <wp:effectExtent l="0" t="0" r="1651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4726940" cy="3474085"/>
                    </a:xfrm>
                    <a:prstGeom prst="rect">
                      <a:avLst/>
                    </a:prstGeom>
                    <a:noFill/>
                    <a:ln>
                      <a:noFill/>
                    </a:ln>
                  </pic:spPr>
                </pic:pic>
              </a:graphicData>
            </a:graphic>
          </wp:inline>
        </w:drawing>
      </w:r>
    </w:p>
    <w:p w14:paraId="59334F6E">
      <w:pPr>
        <w:numPr>
          <w:ilvl w:val="0"/>
          <w:numId w:val="0"/>
        </w:numPr>
        <w:ind w:right="0" w:rightChars="0" w:firstLine="640" w:firstLineChars="200"/>
        <w:outlineLvl w:val="3"/>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2.查看建议</w:t>
      </w:r>
    </w:p>
    <w:p w14:paraId="583DCA84">
      <w:pPr>
        <w:pStyle w:val="11"/>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点击已保存或已提交的单据进行投诉记录查看</w:t>
      </w:r>
    </w:p>
    <w:p w14:paraId="29E36A33">
      <w:pPr>
        <w:numPr>
          <w:ilvl w:val="0"/>
          <w:numId w:val="0"/>
        </w:numPr>
        <w:ind w:leftChars="200" w:right="0" w:rightChars="0"/>
        <w:jc w:val="center"/>
        <w:outlineLvl w:val="9"/>
        <w:rPr>
          <w:rFonts w:hint="default" w:ascii="黑体" w:hAnsi="黑体" w:eastAsia="黑体" w:cs="黑体"/>
          <w:b w:val="0"/>
          <w:bCs w:val="0"/>
          <w:sz w:val="32"/>
          <w:szCs w:val="32"/>
          <w:lang w:val="en-US" w:eastAsia="zh-CN" w:bidi="ar-SA"/>
        </w:rPr>
      </w:pPr>
      <w:r>
        <w:drawing>
          <wp:inline distT="0" distB="0" distL="114300" distR="114300">
            <wp:extent cx="3296285" cy="3187700"/>
            <wp:effectExtent l="0" t="0" r="18415"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3296285" cy="3187700"/>
                    </a:xfrm>
                    <a:prstGeom prst="rect">
                      <a:avLst/>
                    </a:prstGeom>
                    <a:noFill/>
                    <a:ln>
                      <a:noFill/>
                    </a:ln>
                  </pic:spPr>
                </pic:pic>
              </a:graphicData>
            </a:graphic>
          </wp:inline>
        </w:drawing>
      </w:r>
    </w:p>
    <w:p w14:paraId="4B6B5DA3">
      <w:pPr>
        <w:numPr>
          <w:numId w:val="0"/>
        </w:numPr>
        <w:ind w:leftChars="0" w:right="0" w:rightChars="0" w:firstLine="640" w:firstLineChars="200"/>
        <w:outlineLvl w:val="2"/>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（四）合作信息</w:t>
      </w:r>
    </w:p>
    <w:p w14:paraId="2C8764EB">
      <w:pPr>
        <w:pStyle w:val="11"/>
        <w:autoSpaceDE/>
        <w:autoSpaceDN/>
        <w:spacing w:before="0" w:after="0" w:line="360" w:lineRule="auto"/>
        <w:ind w:left="0" w:leftChars="0" w:right="0" w:rightChars="0" w:firstLine="480" w:firstLineChars="200"/>
        <w:jc w:val="both"/>
        <w:outlineLvl w:val="9"/>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可根据年份、单位名称搜索进行查询相关合同合作信息</w:t>
      </w:r>
    </w:p>
    <w:p w14:paraId="3DD4D0DB">
      <w:pPr>
        <w:numPr>
          <w:ilvl w:val="0"/>
          <w:numId w:val="0"/>
        </w:numPr>
        <w:ind w:leftChars="0" w:right="0" w:rightChars="0"/>
        <w:jc w:val="center"/>
        <w:outlineLvl w:val="9"/>
        <w:rPr>
          <w:rFonts w:hint="default" w:ascii="黑体" w:hAnsi="黑体" w:eastAsia="黑体" w:cs="黑体"/>
          <w:b w:val="0"/>
          <w:bCs w:val="0"/>
          <w:sz w:val="32"/>
          <w:szCs w:val="32"/>
          <w:lang w:val="en-US" w:eastAsia="zh-CN"/>
        </w:rPr>
      </w:pPr>
      <w:r>
        <w:drawing>
          <wp:inline distT="0" distB="0" distL="114300" distR="114300">
            <wp:extent cx="3460115" cy="3448685"/>
            <wp:effectExtent l="0" t="0" r="6985" b="184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3460115" cy="3448685"/>
                    </a:xfrm>
                    <a:prstGeom prst="rect">
                      <a:avLst/>
                    </a:prstGeom>
                    <a:noFill/>
                    <a:ln>
                      <a:noFill/>
                    </a:ln>
                  </pic:spPr>
                </pic:pic>
              </a:graphicData>
            </a:graphic>
          </wp:inline>
        </w:drawing>
      </w:r>
    </w:p>
    <w:p w14:paraId="08A534E5">
      <w:pPr>
        <w:numPr>
          <w:ilvl w:val="0"/>
          <w:numId w:val="0"/>
        </w:numPr>
        <w:ind w:right="0" w:rightChars="0"/>
        <w:jc w:val="both"/>
        <w:outlineLvl w:val="9"/>
      </w:pPr>
    </w:p>
    <w:p w14:paraId="58D34C5D">
      <w:pPr>
        <w:numPr>
          <w:numId w:val="0"/>
        </w:numPr>
        <w:ind w:right="0" w:rightChars="0" w:firstLine="640" w:firstLineChars="200"/>
        <w:jc w:val="both"/>
        <w:outlineLvl w:val="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四、附录</w:t>
      </w:r>
    </w:p>
    <w:p w14:paraId="48FFCBCC">
      <w:pPr>
        <w:numPr>
          <w:ilvl w:val="0"/>
          <w:numId w:val="2"/>
        </w:numPr>
        <w:ind w:left="0" w:leftChars="0" w:right="0" w:rightChars="0" w:firstLine="420" w:firstLineChars="0"/>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联系我们</w:t>
      </w:r>
    </w:p>
    <w:p w14:paraId="26F28408">
      <w:pPr>
        <w:numPr>
          <w:ilvl w:val="0"/>
          <w:numId w:val="0"/>
        </w:numPr>
        <w:ind w:leftChars="0" w:right="0" w:rightChars="0" w:firstLine="480" w:firstLineChars="200"/>
        <w:jc w:val="both"/>
        <w:outlineLvl w:val="9"/>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客服电话：</w:t>
      </w:r>
      <w:r>
        <w:rPr>
          <w:rFonts w:hint="eastAsia" w:ascii="仿宋" w:hAnsi="仿宋" w:eastAsia="仿宋" w:cs="仿宋"/>
          <w:kern w:val="2"/>
          <w:sz w:val="24"/>
          <w:szCs w:val="24"/>
          <w:lang w:val="en-US" w:eastAsia="zh-CN" w:bidi="ar-SA"/>
        </w:rPr>
        <w:t>17530025210/15711114210</w:t>
      </w:r>
    </w:p>
    <w:p w14:paraId="1A87BE97">
      <w:pPr>
        <w:numPr>
          <w:ilvl w:val="0"/>
          <w:numId w:val="0"/>
        </w:numPr>
        <w:ind w:leftChars="0" w:right="0" w:rightChars="0" w:firstLine="480" w:firstLineChars="200"/>
        <w:jc w:val="both"/>
        <w:outlineLvl w:val="9"/>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客服邮箱：</w:t>
      </w:r>
      <w:r>
        <w:rPr>
          <w:rFonts w:hint="eastAsia" w:ascii="仿宋" w:hAnsi="仿宋" w:eastAsia="仿宋" w:cs="仿宋"/>
          <w:kern w:val="2"/>
          <w:sz w:val="24"/>
          <w:szCs w:val="24"/>
          <w:lang w:val="en-US" w:eastAsia="zh-CN" w:bidi="ar-SA"/>
        </w:rPr>
        <w:t>2896174408@qq.com</w:t>
      </w:r>
    </w:p>
    <w:p w14:paraId="772B1715">
      <w:pPr>
        <w:numPr>
          <w:ilvl w:val="0"/>
          <w:numId w:val="0"/>
        </w:numPr>
        <w:ind w:leftChars="0" w:right="0" w:rightChars="0" w:firstLine="480" w:firstLineChars="200"/>
        <w:jc w:val="both"/>
        <w:outlineLvl w:val="9"/>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服务时间：周一至周日 9:00-18:00</w:t>
      </w:r>
    </w:p>
    <w:p w14:paraId="107429D3">
      <w:pPr>
        <w:numPr>
          <w:ilvl w:val="0"/>
          <w:numId w:val="2"/>
        </w:numPr>
        <w:ind w:left="0" w:leftChars="0" w:right="0" w:rightChars="0" w:firstLine="420" w:firstLineChars="0"/>
        <w:outlineLvl w:val="1"/>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版权声明</w:t>
      </w:r>
    </w:p>
    <w:p w14:paraId="06182B0D">
      <w:pPr>
        <w:numPr>
          <w:ilvl w:val="0"/>
          <w:numId w:val="0"/>
        </w:numPr>
        <w:ind w:leftChars="0" w:right="0" w:rightChars="0" w:firstLine="480" w:firstLineChars="200"/>
        <w:jc w:val="both"/>
        <w:outlineLvl w:val="9"/>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声明本手册及小程序内容的所有权。</w:t>
      </w:r>
    </w:p>
    <w:sectPr>
      <w:pgSz w:w="11906" w:h="16838"/>
      <w:pgMar w:top="1338"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57F75D"/>
    <w:multiLevelType w:val="singleLevel"/>
    <w:tmpl w:val="C857F75D"/>
    <w:lvl w:ilvl="0" w:tentative="0">
      <w:start w:val="1"/>
      <w:numFmt w:val="chineseCounting"/>
      <w:suff w:val="nothing"/>
      <w:lvlText w:val="（%1）"/>
      <w:lvlJc w:val="left"/>
      <w:pPr>
        <w:ind w:left="0" w:firstLine="420"/>
      </w:pPr>
      <w:rPr>
        <w:rFonts w:hint="eastAsia"/>
      </w:rPr>
    </w:lvl>
  </w:abstractNum>
  <w:abstractNum w:abstractNumId="1">
    <w:nsid w:val="72457502"/>
    <w:multiLevelType w:val="singleLevel"/>
    <w:tmpl w:val="72457502"/>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0969A9"/>
    <w:rsid w:val="0F482D80"/>
    <w:rsid w:val="203F1D1A"/>
    <w:rsid w:val="22350AE4"/>
    <w:rsid w:val="25377A82"/>
    <w:rsid w:val="29CE021D"/>
    <w:rsid w:val="2B966A97"/>
    <w:rsid w:val="2CC21BF8"/>
    <w:rsid w:val="3C073192"/>
    <w:rsid w:val="3F9E34B7"/>
    <w:rsid w:val="41843A91"/>
    <w:rsid w:val="456A0921"/>
    <w:rsid w:val="488C32A4"/>
    <w:rsid w:val="4C601EC0"/>
    <w:rsid w:val="4F336227"/>
    <w:rsid w:val="4FD12A19"/>
    <w:rsid w:val="50A70C7B"/>
    <w:rsid w:val="564D4072"/>
    <w:rsid w:val="5A2F1813"/>
    <w:rsid w:val="5EC8559A"/>
    <w:rsid w:val="5FEF7F48"/>
    <w:rsid w:val="65797912"/>
    <w:rsid w:val="6B0E372A"/>
    <w:rsid w:val="6D53550D"/>
    <w:rsid w:val="711700BA"/>
    <w:rsid w:val="78B1604E"/>
    <w:rsid w:val="796304EF"/>
    <w:rsid w:val="79FE7BEC"/>
    <w:rsid w:val="7C380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2"/>
    <w:basedOn w:val="1"/>
    <w:next w:val="1"/>
    <w:qFormat/>
    <w:uiPriority w:val="1"/>
    <w:pPr>
      <w:ind w:left="786" w:hanging="762"/>
      <w:outlineLvl w:val="2"/>
    </w:pPr>
    <w:rPr>
      <w:rFonts w:ascii="宋体" w:hAnsi="宋体" w:eastAsia="宋体" w:cs="宋体"/>
      <w:sz w:val="31"/>
      <w:szCs w:val="31"/>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paragraph" w:styleId="7">
    <w:name w:val="Title"/>
    <w:basedOn w:val="1"/>
    <w:qFormat/>
    <w:uiPriority w:val="1"/>
    <w:pPr>
      <w:spacing w:before="1"/>
      <w:ind w:left="3327" w:right="3452"/>
      <w:jc w:val="center"/>
    </w:pPr>
    <w:rPr>
      <w:rFonts w:ascii="宋体" w:hAnsi="宋体" w:eastAsia="宋体" w:cs="宋体"/>
      <w:sz w:val="52"/>
      <w:szCs w:val="52"/>
      <w:lang w:val="en-US" w:eastAsia="zh-CN" w:bidi="ar-SA"/>
    </w:rPr>
  </w:style>
  <w:style w:type="character" w:styleId="10">
    <w:name w:val="Strong"/>
    <w:basedOn w:val="9"/>
    <w:qFormat/>
    <w:uiPriority w:val="0"/>
    <w:rPr>
      <w:b/>
    </w:rPr>
  </w:style>
  <w:style w:type="paragraph" w:styleId="11">
    <w:name w:val="List Paragraph"/>
    <w:basedOn w:val="1"/>
    <w:qFormat/>
    <w:uiPriority w:val="99"/>
    <w:pPr>
      <w:spacing w:line="240" w:lineRule="auto"/>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1083</Words>
  <Characters>1144</Characters>
  <Lines>0</Lines>
  <Paragraphs>0</Paragraphs>
  <TotalTime>7</TotalTime>
  <ScaleCrop>false</ScaleCrop>
  <LinksUpToDate>false</LinksUpToDate>
  <CharactersWithSpaces>1148</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2025-09-12T10:39:00Z</dcterms:created>
  <dc:creator>28961</dc:creator>
  <cp:lastModifiedBy>宫正</cp:lastModifiedBy>
  <dcterms:modified xsi:type="dcterms:W3CDTF">2025-11-28T03:41:39Z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KSOTemplateDocerSaveRecord">
    <vt:lpwstr>eyJoZGlkIjoiODViY2JkMjU3NGYzZTEwMzZmMGFkZWViYmNkYWU3NDIiLCJ1c2VySWQiOiIxNjk0MzM2MTA5In0=</vt:lpwstr>
  </property>
  <property fmtid="{D5CDD505-2E9C-101B-9397-08002B2CF9AE}" pid="4" name="ICV">
    <vt:lpwstr>1FF54F44828B4B50B1A6D153A7431B09_13</vt:lpwstr>
  </property>
</Properties>
</file>