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29C2B">
      <w:pPr>
        <w:tabs>
          <w:tab w:val="left" w:pos="1440"/>
        </w:tabs>
        <w:jc w:val="center"/>
        <w:rPr>
          <w:rFonts w:hint="eastAsia" w:ascii="方正小标宋简体" w:hAnsi="宋体" w:eastAsia="方正小标宋简体" w:cs="Times New Roman"/>
          <w:sz w:val="44"/>
          <w:szCs w:val="44"/>
          <w:lang w:eastAsia="zh-CN"/>
        </w:rPr>
      </w:pPr>
      <w:r>
        <w:rPr>
          <w:rFonts w:hint="eastAsia" w:ascii="方正小标宋简体" w:hAnsi="宋体" w:eastAsia="方正小标宋简体" w:cs="Times New Roman"/>
          <w:sz w:val="44"/>
          <w:szCs w:val="44"/>
        </w:rPr>
        <w:t>煤炭承运合同</w:t>
      </w:r>
    </w:p>
    <w:p w14:paraId="7018A13E">
      <w:pPr>
        <w:ind w:firstLine="480" w:firstLineChars="200"/>
        <w:jc w:val="center"/>
        <w:rPr>
          <w:rFonts w:ascii="仿宋_GB2312" w:hAnsi="宋体" w:eastAsia="仿宋_GB2312"/>
          <w:sz w:val="24"/>
          <w:szCs w:val="24"/>
        </w:rPr>
      </w:pPr>
      <w:r>
        <w:rPr>
          <w:rFonts w:hint="eastAsia" w:ascii="仿宋_GB2312" w:hAnsi="宋体" w:eastAsia="仿宋_GB2312"/>
          <w:bCs/>
          <w:sz w:val="24"/>
          <w:szCs w:val="24"/>
        </w:rPr>
        <w:t xml:space="preserve">                             </w:t>
      </w:r>
      <w:r>
        <w:rPr>
          <w:rFonts w:hint="eastAsia" w:ascii="仿宋_GB2312" w:hAnsi="宋体" w:eastAsia="仿宋_GB2312"/>
          <w:bCs/>
          <w:sz w:val="24"/>
          <w:szCs w:val="24"/>
          <w:lang w:val="en-US" w:eastAsia="zh-CN"/>
        </w:rPr>
        <w:t xml:space="preserve"> </w:t>
      </w:r>
      <w:r>
        <w:rPr>
          <w:rFonts w:hint="eastAsia" w:ascii="宋体" w:hAnsi="宋体"/>
          <w:sz w:val="24"/>
          <w:szCs w:val="24"/>
        </w:rPr>
        <w:t>合同编号：【</w:t>
      </w:r>
      <w:r>
        <w:rPr>
          <w:rFonts w:hint="eastAsia" w:ascii="宋体" w:hAnsi="宋体"/>
          <w:sz w:val="24"/>
          <w:szCs w:val="24"/>
          <w:lang w:val="en-US" w:eastAsia="zh-CN"/>
        </w:rPr>
        <w:t xml:space="preserve">                      </w:t>
      </w:r>
      <w:r>
        <w:rPr>
          <w:rFonts w:hint="eastAsia" w:ascii="宋体" w:hAnsi="宋体"/>
          <w:sz w:val="24"/>
          <w:szCs w:val="24"/>
        </w:rPr>
        <w:t>】</w:t>
      </w:r>
    </w:p>
    <w:p w14:paraId="54780B37">
      <w:pPr>
        <w:ind w:firstLine="482" w:firstLineChars="200"/>
        <w:jc w:val="left"/>
        <w:rPr>
          <w:rFonts w:hint="default" w:ascii="仿宋_GB2312" w:hAnsi="宋体" w:eastAsia="仿宋_GB2312"/>
          <w:bCs/>
          <w:sz w:val="24"/>
          <w:szCs w:val="24"/>
          <w:lang w:val="en-US" w:eastAsia="zh-CN"/>
        </w:rPr>
      </w:pPr>
      <w:r>
        <w:rPr>
          <w:rFonts w:hint="eastAsia" w:ascii="仿宋_GB2312" w:hAnsi="宋体" w:eastAsia="仿宋_GB2312"/>
          <w:b/>
          <w:bCs/>
          <w:sz w:val="24"/>
          <w:szCs w:val="24"/>
        </w:rPr>
        <w:t>甲方</w:t>
      </w:r>
      <w:r>
        <w:rPr>
          <w:rFonts w:hint="eastAsia" w:ascii="仿宋_GB2312" w:hAnsi="宋体" w:eastAsia="仿宋_GB2312"/>
          <w:b/>
          <w:sz w:val="24"/>
          <w:szCs w:val="24"/>
        </w:rPr>
        <w:t>：</w:t>
      </w:r>
      <w:r>
        <w:rPr>
          <w:rFonts w:hint="eastAsia" w:ascii="仿宋_GB2312" w:hAnsi="华文仿宋" w:eastAsia="仿宋_GB2312"/>
          <w:bCs/>
          <w:sz w:val="24"/>
          <w:szCs w:val="24"/>
          <w:u w:val="single"/>
          <w:lang w:val="en-US" w:eastAsia="zh-CN"/>
        </w:rPr>
        <w:t xml:space="preserve">                              </w:t>
      </w:r>
    </w:p>
    <w:p w14:paraId="5F5F219B">
      <w:pPr>
        <w:ind w:firstLine="482" w:firstLineChars="200"/>
        <w:jc w:val="left"/>
        <w:rPr>
          <w:rFonts w:hint="eastAsia" w:ascii="仿宋_GB2312" w:hAnsi="宋体" w:eastAsia="仿宋_GB2312"/>
          <w:b/>
          <w:sz w:val="24"/>
          <w:szCs w:val="24"/>
          <w:u w:val="single"/>
          <w:lang w:val="en-US" w:eastAsia="zh-CN"/>
        </w:rPr>
      </w:pPr>
      <w:r>
        <w:rPr>
          <w:rFonts w:hint="eastAsia" w:ascii="仿宋_GB2312" w:hAnsi="宋体" w:eastAsia="仿宋_GB2312"/>
          <w:b/>
          <w:bCs/>
          <w:sz w:val="24"/>
          <w:szCs w:val="24"/>
        </w:rPr>
        <w:t>乙方</w:t>
      </w:r>
      <w:r>
        <w:rPr>
          <w:rFonts w:hint="eastAsia" w:ascii="仿宋_GB2312" w:hAnsi="宋体" w:eastAsia="仿宋_GB2312"/>
          <w:b/>
          <w:sz w:val="24"/>
          <w:szCs w:val="24"/>
        </w:rPr>
        <w:t>：</w:t>
      </w:r>
      <w:r>
        <w:rPr>
          <w:rFonts w:hint="eastAsia" w:ascii="仿宋_GB2312" w:hAnsi="华文仿宋" w:eastAsia="仿宋_GB2312"/>
          <w:bCs/>
          <w:sz w:val="24"/>
          <w:szCs w:val="24"/>
          <w:u w:val="single"/>
          <w:lang w:val="en-US" w:eastAsia="zh-CN"/>
        </w:rPr>
        <w:t xml:space="preserve">                     </w:t>
      </w:r>
      <w:r>
        <w:rPr>
          <w:rFonts w:hint="eastAsia" w:ascii="仿宋_GB2312" w:hAnsi="宋体" w:eastAsia="仿宋_GB2312"/>
          <w:b w:val="0"/>
          <w:bCs/>
          <w:sz w:val="24"/>
          <w:szCs w:val="24"/>
          <w:u w:val="single"/>
          <w:lang w:val="en-US" w:eastAsia="zh-CN"/>
        </w:rPr>
        <w:t xml:space="preserve">         </w:t>
      </w:r>
    </w:p>
    <w:p w14:paraId="4F1AA900">
      <w:pPr>
        <w:ind w:firstLine="5760" w:firstLineChars="2400"/>
        <w:jc w:val="left"/>
        <w:rPr>
          <w:rFonts w:ascii="宋体" w:hAnsi="宋体"/>
          <w:sz w:val="24"/>
          <w:szCs w:val="24"/>
        </w:rPr>
      </w:pPr>
      <w:r>
        <w:rPr>
          <w:rFonts w:hint="eastAsia" w:ascii="宋体" w:hAnsi="宋体"/>
          <w:sz w:val="24"/>
          <w:szCs w:val="24"/>
        </w:rPr>
        <w:t>签约地点：【陕西延安】</w:t>
      </w:r>
    </w:p>
    <w:p w14:paraId="7EFF11C6">
      <w:pPr>
        <w:ind w:firstLine="4080" w:firstLineChars="1700"/>
        <w:jc w:val="left"/>
        <w:rPr>
          <w:rFonts w:hint="eastAsia" w:ascii="宋体" w:hAnsi="宋体"/>
          <w:sz w:val="24"/>
          <w:szCs w:val="24"/>
        </w:rPr>
      </w:pPr>
      <w:r>
        <w:rPr>
          <w:rFonts w:hint="eastAsia" w:ascii="宋体" w:hAnsi="宋体"/>
          <w:sz w:val="24"/>
          <w:szCs w:val="24"/>
        </w:rPr>
        <w:t>签约时间：【</w:t>
      </w:r>
      <w:r>
        <w:rPr>
          <w:rFonts w:hint="eastAsia" w:ascii="宋体" w:hAnsi="宋体"/>
          <w:sz w:val="24"/>
          <w:szCs w:val="24"/>
          <w:lang w:val="en-US" w:eastAsia="zh-CN"/>
        </w:rPr>
        <w:t xml:space="preserve"> </w:t>
      </w:r>
      <w:r>
        <w:rPr>
          <w:rFonts w:hint="eastAsia" w:ascii="宋体" w:hAnsi="宋体"/>
          <w:sz w:val="24"/>
          <w:szCs w:val="24"/>
        </w:rPr>
        <w:t>】年【</w:t>
      </w:r>
      <w:r>
        <w:rPr>
          <w:rFonts w:hint="eastAsia" w:ascii="宋体" w:hAnsi="宋体"/>
          <w:sz w:val="24"/>
          <w:szCs w:val="24"/>
          <w:lang w:val="en-US" w:eastAsia="zh-CN"/>
        </w:rPr>
        <w:t xml:space="preserve"> </w:t>
      </w:r>
      <w:r>
        <w:rPr>
          <w:rFonts w:hint="eastAsia" w:ascii="宋体" w:hAnsi="宋体"/>
          <w:sz w:val="24"/>
          <w:szCs w:val="24"/>
        </w:rPr>
        <w:t>】月【</w:t>
      </w:r>
      <w:r>
        <w:rPr>
          <w:rFonts w:hint="eastAsia" w:ascii="宋体" w:hAnsi="宋体"/>
          <w:sz w:val="24"/>
          <w:szCs w:val="24"/>
          <w:lang w:val="en-US" w:eastAsia="zh-CN"/>
        </w:rPr>
        <w:t xml:space="preserve"> </w:t>
      </w:r>
      <w:r>
        <w:rPr>
          <w:rFonts w:hint="eastAsia" w:ascii="宋体" w:hAnsi="宋体"/>
          <w:sz w:val="24"/>
          <w:szCs w:val="24"/>
        </w:rPr>
        <w:t>】日</w:t>
      </w:r>
    </w:p>
    <w:p w14:paraId="3E5F4DCC">
      <w:pPr>
        <w:ind w:firstLine="4560" w:firstLineChars="1900"/>
        <w:jc w:val="left"/>
        <w:rPr>
          <w:rFonts w:hint="default" w:ascii="宋体" w:hAnsi="宋体"/>
          <w:sz w:val="24"/>
          <w:szCs w:val="24"/>
          <w:lang w:val="en-US" w:eastAsia="zh-CN"/>
        </w:rPr>
      </w:pPr>
    </w:p>
    <w:p w14:paraId="5895D4D3">
      <w:pPr>
        <w:ind w:firstLine="480" w:firstLineChars="200"/>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根据《中华人民共和国民法典》等相关法律法规的规定，经甲、乙双方平等协商，就煤炭运输事宜签订本合同，以资共同遵守。</w:t>
      </w:r>
    </w:p>
    <w:p w14:paraId="251E0BF5">
      <w:pPr>
        <w:ind w:firstLine="482" w:firstLineChars="200"/>
        <w:jc w:val="left"/>
        <w:rPr>
          <w:rFonts w:ascii="仿宋_GB2312" w:hAnsi="宋体" w:eastAsia="仿宋_GB2312"/>
          <w:sz w:val="24"/>
          <w:szCs w:val="24"/>
        </w:rPr>
      </w:pPr>
      <w:r>
        <w:rPr>
          <w:rFonts w:hint="eastAsia" w:ascii="仿宋_GB2312" w:hAnsi="宋体" w:eastAsia="仿宋_GB2312"/>
          <w:b/>
          <w:sz w:val="24"/>
          <w:szCs w:val="24"/>
        </w:rPr>
        <w:t>一、交货地点：</w:t>
      </w:r>
      <w:r>
        <w:rPr>
          <w:rFonts w:hint="eastAsia" w:ascii="仿宋_GB2312" w:hAnsi="宋体" w:eastAsia="仿宋_GB2312"/>
          <w:sz w:val="24"/>
          <w:szCs w:val="24"/>
        </w:rPr>
        <w:t>乙方按甲方拉运计划负责从</w:t>
      </w:r>
      <w:r>
        <w:rPr>
          <w:rFonts w:hint="eastAsia" w:ascii="仿宋_GB2312" w:hAnsi="宋体" w:eastAsia="仿宋_GB2312"/>
          <w:sz w:val="24"/>
          <w:szCs w:val="24"/>
          <w:u w:val="single"/>
          <w:lang w:val="en-US" w:eastAsia="zh-CN"/>
        </w:rPr>
        <w:t xml:space="preserve">           </w:t>
      </w:r>
      <w:r>
        <w:rPr>
          <w:rFonts w:hint="eastAsia" w:ascii="仿宋_GB2312" w:hAnsi="宋体" w:eastAsia="仿宋_GB2312"/>
          <w:sz w:val="24"/>
          <w:szCs w:val="24"/>
          <w:u w:val="single"/>
        </w:rPr>
        <w:t>煤矿</w:t>
      </w:r>
      <w:r>
        <w:rPr>
          <w:rFonts w:hint="eastAsia" w:ascii="仿宋_GB2312" w:hAnsi="宋体" w:eastAsia="仿宋_GB2312"/>
          <w:sz w:val="24"/>
          <w:szCs w:val="24"/>
        </w:rPr>
        <w:t>拉运电煤到</w:t>
      </w:r>
      <w:r>
        <w:rPr>
          <w:rFonts w:hint="eastAsia" w:ascii="仿宋_GB2312" w:hAnsi="宋体" w:eastAsia="仿宋_GB2312"/>
          <w:sz w:val="24"/>
          <w:szCs w:val="24"/>
          <w:u w:val="single"/>
        </w:rPr>
        <w:t>大唐陕西发电有限公司延安热电厂煤场</w:t>
      </w:r>
      <w:r>
        <w:rPr>
          <w:rFonts w:hint="eastAsia" w:ascii="仿宋_GB2312" w:hAnsi="宋体" w:eastAsia="仿宋_GB2312"/>
          <w:sz w:val="24"/>
          <w:szCs w:val="24"/>
        </w:rPr>
        <w:t>。</w:t>
      </w:r>
    </w:p>
    <w:p w14:paraId="4A1CC86A">
      <w:pPr>
        <w:ind w:firstLine="482" w:firstLineChars="200"/>
        <w:rPr>
          <w:rFonts w:ascii="仿宋_GB2312" w:hAnsi="宋体" w:eastAsia="仿宋_GB2312"/>
          <w:sz w:val="24"/>
          <w:szCs w:val="24"/>
        </w:rPr>
      </w:pPr>
      <w:r>
        <w:rPr>
          <w:rFonts w:hint="eastAsia" w:ascii="仿宋_GB2312" w:hAnsi="宋体" w:eastAsia="仿宋_GB2312"/>
          <w:b/>
          <w:sz w:val="24"/>
          <w:szCs w:val="24"/>
        </w:rPr>
        <w:t>二、运输方式：</w:t>
      </w:r>
      <w:r>
        <w:rPr>
          <w:rFonts w:hint="eastAsia" w:ascii="仿宋_GB2312" w:hAnsi="宋体" w:eastAsia="仿宋_GB2312"/>
          <w:sz w:val="24"/>
          <w:szCs w:val="24"/>
        </w:rPr>
        <w:t>采用汽车运输方式，并使用属地管理部门要求的合法车辆</w:t>
      </w:r>
      <w:r>
        <w:rPr>
          <w:rFonts w:hint="eastAsia" w:ascii="仿宋_GB2312" w:hAnsi="宋体" w:eastAsia="仿宋_GB2312"/>
          <w:sz w:val="24"/>
          <w:szCs w:val="24"/>
          <w:lang w:eastAsia="zh-CN"/>
        </w:rPr>
        <w:t>，</w:t>
      </w:r>
      <w:r>
        <w:rPr>
          <w:rFonts w:hint="eastAsia" w:ascii="仿宋_GB2312" w:hAnsi="宋体" w:eastAsia="仿宋_GB2312"/>
          <w:sz w:val="24"/>
          <w:szCs w:val="24"/>
        </w:rPr>
        <w:t>使用新能源</w:t>
      </w:r>
      <w:r>
        <w:rPr>
          <w:rFonts w:hint="eastAsia" w:ascii="仿宋_GB2312" w:hAnsi="宋体" w:eastAsia="仿宋_GB2312"/>
          <w:sz w:val="24"/>
          <w:szCs w:val="24"/>
          <w:lang w:val="en-US" w:eastAsia="zh-CN"/>
        </w:rPr>
        <w:t>侧翻</w:t>
      </w:r>
      <w:r>
        <w:rPr>
          <w:rFonts w:hint="eastAsia" w:ascii="仿宋_GB2312" w:hAnsi="宋体" w:eastAsia="仿宋_GB2312"/>
          <w:sz w:val="24"/>
          <w:szCs w:val="24"/>
        </w:rPr>
        <w:t>车辆承运。</w:t>
      </w:r>
    </w:p>
    <w:p w14:paraId="491D8EE6">
      <w:pPr>
        <w:ind w:firstLine="482" w:firstLineChars="200"/>
        <w:rPr>
          <w:rFonts w:hint="eastAsia" w:ascii="仿宋_GB2312" w:hAnsi="宋体" w:eastAsia="仿宋_GB2312"/>
          <w:sz w:val="24"/>
          <w:szCs w:val="24"/>
          <w:lang w:eastAsia="zh-CN"/>
        </w:rPr>
      </w:pPr>
      <w:r>
        <w:rPr>
          <w:rFonts w:hint="eastAsia" w:ascii="仿宋_GB2312" w:hAnsi="宋体" w:eastAsia="仿宋_GB2312"/>
          <w:b/>
          <w:sz w:val="24"/>
          <w:szCs w:val="24"/>
        </w:rPr>
        <w:t>三、运费（含税，增值税税率9%）</w:t>
      </w:r>
      <w:r>
        <w:rPr>
          <w:rFonts w:hint="eastAsia" w:ascii="仿宋_GB2312" w:hAnsi="宋体" w:eastAsia="仿宋_GB2312"/>
          <w:sz w:val="24"/>
          <w:szCs w:val="24"/>
        </w:rPr>
        <w:t>：</w:t>
      </w:r>
      <w:r>
        <w:rPr>
          <w:rFonts w:hint="eastAsia" w:ascii="仿宋_GB2312" w:hAnsi="宋体" w:eastAsia="仿宋_GB2312"/>
          <w:sz w:val="24"/>
          <w:szCs w:val="24"/>
          <w:u w:val="single"/>
          <w:lang w:val="en-US" w:eastAsia="zh-CN"/>
        </w:rPr>
        <w:t xml:space="preserve">    </w:t>
      </w:r>
      <w:r>
        <w:rPr>
          <w:rFonts w:hint="eastAsia" w:ascii="仿宋_GB2312" w:hAnsi="宋体" w:eastAsia="仿宋_GB2312"/>
          <w:color w:val="auto"/>
          <w:sz w:val="24"/>
          <w:szCs w:val="24"/>
          <w:lang w:val="en-US" w:eastAsia="zh-CN"/>
        </w:rPr>
        <w:t>元</w:t>
      </w:r>
      <w:r>
        <w:rPr>
          <w:rFonts w:hint="default" w:ascii="仿宋_GB2312" w:hAnsi="宋体" w:eastAsia="仿宋_GB2312"/>
          <w:color w:val="auto"/>
          <w:sz w:val="24"/>
          <w:szCs w:val="24"/>
          <w:lang w:val="en-US" w:eastAsia="zh-CN"/>
        </w:rPr>
        <w:t>/</w:t>
      </w:r>
      <w:r>
        <w:rPr>
          <w:rFonts w:hint="eastAsia" w:ascii="仿宋_GB2312" w:hAnsi="宋体" w:eastAsia="仿宋_GB2312"/>
          <w:color w:val="auto"/>
          <w:sz w:val="24"/>
          <w:szCs w:val="24"/>
          <w:lang w:val="en-US" w:eastAsia="zh-CN"/>
        </w:rPr>
        <w:t>吨含税，不含税价格</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lang w:val="en-US" w:eastAsia="zh-CN"/>
        </w:rPr>
        <w:t>元/吨，税额</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lang w:val="en-US" w:eastAsia="zh-CN"/>
        </w:rPr>
        <w:t>元/吨</w:t>
      </w:r>
      <w:r>
        <w:rPr>
          <w:rFonts w:hint="eastAsia" w:ascii="仿宋_GB2312" w:hAnsi="宋体" w:eastAsia="仿宋_GB2312"/>
          <w:sz w:val="24"/>
          <w:szCs w:val="24"/>
          <w:lang w:val="en-US" w:eastAsia="zh-CN"/>
        </w:rPr>
        <w:t>。</w:t>
      </w:r>
    </w:p>
    <w:p w14:paraId="684DBBAD">
      <w:pPr>
        <w:ind w:firstLine="482" w:firstLineChars="200"/>
        <w:rPr>
          <w:rFonts w:ascii="仿宋_GB2312" w:hAnsi="宋体" w:eastAsia="仿宋_GB2312"/>
          <w:b/>
          <w:sz w:val="24"/>
          <w:szCs w:val="24"/>
        </w:rPr>
      </w:pPr>
      <w:r>
        <w:rPr>
          <w:rFonts w:hint="eastAsia" w:ascii="仿宋_GB2312" w:hAnsi="宋体" w:eastAsia="仿宋_GB2312"/>
          <w:b/>
          <w:sz w:val="24"/>
          <w:szCs w:val="24"/>
        </w:rPr>
        <w:t>四、结算（含税）：</w:t>
      </w:r>
    </w:p>
    <w:p w14:paraId="02FE7A85">
      <w:pPr>
        <w:ind w:firstLine="480" w:firstLineChars="200"/>
        <w:rPr>
          <w:rFonts w:hint="eastAsia" w:ascii="仿宋_GB2312" w:hAnsi="宋体" w:eastAsia="仿宋_GB2312"/>
          <w:sz w:val="24"/>
          <w:szCs w:val="24"/>
          <w:lang w:val="en-US" w:eastAsia="zh-CN"/>
        </w:rPr>
      </w:pPr>
      <w:r>
        <w:rPr>
          <w:rFonts w:hint="eastAsia" w:ascii="仿宋_GB2312" w:hAnsi="宋体" w:eastAsia="仿宋_GB2312"/>
          <w:sz w:val="24"/>
          <w:szCs w:val="24"/>
        </w:rPr>
        <w:t>1.</w:t>
      </w:r>
      <w:r>
        <w:rPr>
          <w:rFonts w:hint="eastAsia" w:ascii="仿宋_GB2312" w:hAnsi="宋体" w:eastAsia="仿宋_GB2312"/>
          <w:sz w:val="24"/>
          <w:szCs w:val="24"/>
          <w:lang w:val="en-US" w:eastAsia="zh-CN"/>
        </w:rPr>
        <w:t>以甲方到货批次作为结算周期进行结算，单次结算时间最长不超一个月。</w:t>
      </w:r>
    </w:p>
    <w:p w14:paraId="212DDCC8">
      <w:pPr>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当月煤炭到厂验收合格后，次月甲方出具结算单据，</w:t>
      </w:r>
      <w:r>
        <w:rPr>
          <w:rFonts w:hint="eastAsia" w:ascii="仿宋_GB2312" w:hAnsi="宋体" w:eastAsia="仿宋_GB2312"/>
          <w:sz w:val="24"/>
          <w:szCs w:val="24"/>
        </w:rPr>
        <w:t>乙方</w:t>
      </w:r>
      <w:r>
        <w:rPr>
          <w:rFonts w:hint="eastAsia" w:ascii="仿宋_GB2312" w:hAnsi="宋体" w:eastAsia="仿宋_GB2312"/>
          <w:sz w:val="24"/>
          <w:szCs w:val="24"/>
          <w:lang w:val="en-US" w:eastAsia="zh-CN"/>
        </w:rPr>
        <w:t>按照结算单出具增值税专用运输发票，经甲方核对无误后，办理结算、付款手续。</w:t>
      </w:r>
    </w:p>
    <w:p w14:paraId="23A2B2E4">
      <w:pPr>
        <w:ind w:firstLine="480" w:firstLineChars="200"/>
        <w:rPr>
          <w:rFonts w:hint="eastAsia" w:ascii="仿宋_GB2312" w:hAnsi="宋体" w:eastAsia="仿宋_GB2312"/>
          <w:sz w:val="24"/>
          <w:szCs w:val="24"/>
          <w:lang w:val="en-US" w:eastAsia="zh-CN"/>
        </w:rPr>
      </w:pPr>
      <w:r>
        <w:rPr>
          <w:rFonts w:hint="eastAsia" w:ascii="仿宋_GB2312" w:hAnsi="宋体" w:eastAsia="仿宋_GB2312"/>
          <w:sz w:val="24"/>
          <w:szCs w:val="24"/>
          <w:lang w:val="en-US" w:eastAsia="zh-CN"/>
        </w:rPr>
        <w:t>2.对矿发量小于到厂验收量的情形，甲方有权拒绝结算超出矿方量部分数量对应运费。</w:t>
      </w:r>
    </w:p>
    <w:p w14:paraId="40AFC165">
      <w:pPr>
        <w:ind w:firstLine="482" w:firstLineChars="200"/>
        <w:rPr>
          <w:rFonts w:ascii="仿宋_GB2312" w:hAnsi="宋体" w:eastAsia="仿宋_GB2312"/>
          <w:b/>
          <w:sz w:val="24"/>
          <w:szCs w:val="24"/>
        </w:rPr>
      </w:pPr>
      <w:r>
        <w:rPr>
          <w:rFonts w:hint="eastAsia" w:ascii="仿宋_GB2312" w:hAnsi="宋体" w:eastAsia="仿宋_GB2312"/>
          <w:b/>
          <w:sz w:val="24"/>
          <w:szCs w:val="24"/>
        </w:rPr>
        <w:t>五、车辆管理</w:t>
      </w:r>
      <w:r>
        <w:rPr>
          <w:rFonts w:hint="eastAsia" w:ascii="仿宋_GB2312" w:hAnsi="宋体" w:eastAsia="仿宋_GB2312"/>
          <w:b/>
          <w:sz w:val="24"/>
          <w:szCs w:val="24"/>
          <w:lang w:eastAsia="zh-CN"/>
        </w:rPr>
        <w:t>、</w:t>
      </w:r>
      <w:r>
        <w:rPr>
          <w:rFonts w:hint="eastAsia" w:ascii="仿宋_GB2312" w:hAnsi="宋体" w:eastAsia="仿宋_GB2312"/>
          <w:b/>
          <w:sz w:val="24"/>
          <w:szCs w:val="24"/>
        </w:rPr>
        <w:t>运煤车辆监控设备安装运行要求：</w:t>
      </w:r>
    </w:p>
    <w:p w14:paraId="4710D272">
      <w:pPr>
        <w:ind w:firstLine="480" w:firstLineChars="200"/>
        <w:rPr>
          <w:rFonts w:hint="eastAsia" w:ascii="仿宋_GB2312" w:hAnsi="宋体" w:eastAsia="仿宋_GB2312"/>
          <w:b w:val="0"/>
          <w:bCs/>
          <w:sz w:val="24"/>
          <w:szCs w:val="24"/>
        </w:rPr>
      </w:pPr>
      <w:r>
        <w:rPr>
          <w:rFonts w:hint="eastAsia" w:ascii="仿宋_GB2312" w:hAnsi="宋体" w:eastAsia="仿宋_GB2312"/>
          <w:sz w:val="24"/>
          <w:szCs w:val="24"/>
          <w:lang w:val="en-US" w:eastAsia="zh-CN"/>
        </w:rPr>
        <w:t>1.</w:t>
      </w:r>
      <w:r>
        <w:rPr>
          <w:rFonts w:hint="eastAsia" w:ascii="仿宋_GB2312" w:hAnsi="宋体" w:eastAsia="仿宋_GB2312"/>
          <w:sz w:val="24"/>
          <w:szCs w:val="24"/>
        </w:rPr>
        <w:t>乙方</w:t>
      </w:r>
      <w:r>
        <w:rPr>
          <w:rFonts w:hint="eastAsia" w:ascii="仿宋_GB2312" w:hAnsi="宋体" w:eastAsia="仿宋_GB2312"/>
          <w:b w:val="0"/>
          <w:bCs/>
          <w:sz w:val="24"/>
          <w:szCs w:val="24"/>
        </w:rPr>
        <w:t>组织的运输车辆，必须符合</w:t>
      </w:r>
      <w:r>
        <w:rPr>
          <w:rFonts w:hint="eastAsia" w:ascii="仿宋_GB2312" w:hAnsi="宋体" w:eastAsia="仿宋_GB2312"/>
          <w:sz w:val="24"/>
          <w:szCs w:val="24"/>
          <w:lang w:val="en-US" w:eastAsia="zh-CN"/>
        </w:rPr>
        <w:t>甲方</w:t>
      </w:r>
      <w:r>
        <w:rPr>
          <w:rFonts w:hint="eastAsia" w:ascii="仿宋_GB2312" w:hAnsi="宋体" w:eastAsia="仿宋_GB2312"/>
          <w:b w:val="0"/>
          <w:bCs/>
          <w:sz w:val="24"/>
          <w:szCs w:val="24"/>
        </w:rPr>
        <w:t>接卸条件及政府的环保要求</w:t>
      </w: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rPr>
        <w:t>运力信息需录入物流监管平台，确保所有承运车辆纳入统一监管，对未纳入平台监管的车辆，</w:t>
      </w:r>
      <w:r>
        <w:rPr>
          <w:rFonts w:hint="eastAsia" w:ascii="仿宋_GB2312" w:hAnsi="宋体" w:eastAsia="仿宋_GB2312"/>
          <w:sz w:val="24"/>
          <w:szCs w:val="24"/>
          <w:lang w:val="en-US" w:eastAsia="zh-CN"/>
        </w:rPr>
        <w:t>甲方</w:t>
      </w:r>
      <w:r>
        <w:rPr>
          <w:rFonts w:hint="eastAsia" w:ascii="仿宋_GB2312" w:hAnsi="宋体" w:eastAsia="仿宋_GB2312"/>
          <w:b w:val="0"/>
          <w:bCs/>
          <w:sz w:val="24"/>
          <w:szCs w:val="24"/>
        </w:rPr>
        <w:t>将禁止入厂。司乘人员必须遵守交通法规及</w:t>
      </w:r>
      <w:r>
        <w:rPr>
          <w:rFonts w:hint="eastAsia" w:ascii="仿宋_GB2312" w:hAnsi="宋体" w:eastAsia="仿宋_GB2312"/>
          <w:sz w:val="24"/>
          <w:szCs w:val="24"/>
          <w:lang w:val="en-US" w:eastAsia="zh-CN"/>
        </w:rPr>
        <w:t>甲方</w:t>
      </w:r>
      <w:r>
        <w:rPr>
          <w:rFonts w:hint="eastAsia" w:ascii="仿宋_GB2312" w:hAnsi="宋体" w:eastAsia="仿宋_GB2312"/>
          <w:b w:val="0"/>
          <w:bCs/>
          <w:sz w:val="24"/>
          <w:szCs w:val="24"/>
        </w:rPr>
        <w:t>汽车运输管理制度，运煤车辆在运输途中必须全程用完整的帆布将车厢覆盖严密，进入采样区域后方可揭开。运煤车辆进入厂区后要遵守厂规厂纪，运煤</w:t>
      </w:r>
      <w:r>
        <w:rPr>
          <w:rFonts w:hint="eastAsia" w:ascii="仿宋_GB2312" w:hAnsi="宋体" w:eastAsia="仿宋_GB2312"/>
          <w:b w:val="0"/>
          <w:bCs/>
          <w:sz w:val="24"/>
          <w:szCs w:val="24"/>
          <w:lang w:val="en-US" w:eastAsia="zh-CN"/>
        </w:rPr>
        <w:t>道</w:t>
      </w:r>
      <w:r>
        <w:rPr>
          <w:rFonts w:hint="eastAsia" w:ascii="仿宋_GB2312" w:hAnsi="宋体" w:eastAsia="仿宋_GB2312"/>
          <w:b w:val="0"/>
          <w:bCs/>
          <w:sz w:val="24"/>
          <w:szCs w:val="24"/>
        </w:rPr>
        <w:t>路及厂区车速不得超过5公里/小时，避免扬尘及抛洒。运输途中和在电厂区域内发生的一切事故均由</w:t>
      </w:r>
      <w:r>
        <w:rPr>
          <w:rFonts w:hint="eastAsia" w:ascii="仿宋_GB2312" w:hAnsi="宋体" w:eastAsia="仿宋_GB2312"/>
          <w:sz w:val="24"/>
          <w:szCs w:val="24"/>
        </w:rPr>
        <w:t>乙方</w:t>
      </w:r>
      <w:r>
        <w:rPr>
          <w:rFonts w:hint="eastAsia" w:ascii="仿宋_GB2312" w:hAnsi="宋体" w:eastAsia="仿宋_GB2312"/>
          <w:b w:val="0"/>
          <w:bCs/>
          <w:sz w:val="24"/>
          <w:szCs w:val="24"/>
        </w:rPr>
        <w:t>自负，与</w:t>
      </w:r>
      <w:r>
        <w:rPr>
          <w:rFonts w:hint="eastAsia" w:ascii="仿宋_GB2312" w:hAnsi="宋体" w:eastAsia="仿宋_GB2312"/>
          <w:sz w:val="24"/>
          <w:szCs w:val="24"/>
          <w:lang w:val="en-US" w:eastAsia="zh-CN"/>
        </w:rPr>
        <w:t>甲方</w:t>
      </w:r>
      <w:r>
        <w:rPr>
          <w:rFonts w:hint="eastAsia" w:ascii="仿宋_GB2312" w:hAnsi="宋体" w:eastAsia="仿宋_GB2312"/>
          <w:b w:val="0"/>
          <w:bCs/>
          <w:sz w:val="24"/>
          <w:szCs w:val="24"/>
        </w:rPr>
        <w:t>无关。由于</w:t>
      </w:r>
      <w:r>
        <w:rPr>
          <w:rFonts w:hint="eastAsia" w:ascii="仿宋_GB2312" w:hAnsi="宋体" w:eastAsia="仿宋_GB2312"/>
          <w:sz w:val="24"/>
          <w:szCs w:val="24"/>
        </w:rPr>
        <w:t>乙方</w:t>
      </w:r>
      <w:r>
        <w:rPr>
          <w:rFonts w:hint="eastAsia" w:ascii="仿宋_GB2312" w:hAnsi="宋体" w:eastAsia="仿宋_GB2312"/>
          <w:b w:val="0"/>
          <w:bCs/>
          <w:sz w:val="24"/>
          <w:szCs w:val="24"/>
        </w:rPr>
        <w:t>车辆在运输途中未加盖篷布造成煤炭抛洒、扬尘而受到环保部门处罚的，处罚款由</w:t>
      </w:r>
      <w:r>
        <w:rPr>
          <w:rFonts w:hint="eastAsia" w:ascii="仿宋_GB2312" w:hAnsi="宋体" w:eastAsia="仿宋_GB2312"/>
          <w:sz w:val="24"/>
          <w:szCs w:val="24"/>
        </w:rPr>
        <w:t>乙方</w:t>
      </w:r>
      <w:r>
        <w:rPr>
          <w:rFonts w:hint="eastAsia" w:ascii="仿宋_GB2312" w:hAnsi="宋体" w:eastAsia="仿宋_GB2312"/>
          <w:b w:val="0"/>
          <w:bCs/>
          <w:sz w:val="24"/>
          <w:szCs w:val="24"/>
        </w:rPr>
        <w:t>承担。</w:t>
      </w:r>
    </w:p>
    <w:p w14:paraId="2EB9CEAE">
      <w:pPr>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2.</w:t>
      </w:r>
      <w:r>
        <w:rPr>
          <w:rFonts w:hint="eastAsia" w:ascii="仿宋_GB2312" w:hAnsi="宋体" w:eastAsia="仿宋_GB2312"/>
          <w:sz w:val="24"/>
          <w:szCs w:val="24"/>
        </w:rPr>
        <w:t>运输车辆必须熟知和遵守大唐延安热电厂的《</w:t>
      </w:r>
      <w:r>
        <w:rPr>
          <w:rFonts w:hint="eastAsia" w:ascii="仿宋_GB2312" w:hAnsi="宋体" w:eastAsia="仿宋_GB2312"/>
          <w:sz w:val="24"/>
          <w:szCs w:val="24"/>
          <w:lang w:val="en-US" w:eastAsia="zh-CN"/>
        </w:rPr>
        <w:t>煤质异常管理规定</w:t>
      </w:r>
      <w:r>
        <w:rPr>
          <w:rFonts w:hint="eastAsia" w:ascii="仿宋_GB2312" w:hAnsi="宋体" w:eastAsia="仿宋_GB2312"/>
          <w:sz w:val="24"/>
          <w:szCs w:val="24"/>
        </w:rPr>
        <w:t>》等，服从煤场人员的调度管理，发生违反上述制度的责任由承运单位承担。</w:t>
      </w:r>
    </w:p>
    <w:p w14:paraId="110E5F02">
      <w:pPr>
        <w:ind w:firstLine="480" w:firstLineChars="200"/>
        <w:rPr>
          <w:rFonts w:hint="eastAsia" w:ascii="仿宋_GB2312" w:hAnsi="宋体" w:eastAsia="仿宋_GB2312"/>
          <w:b w:val="0"/>
          <w:bCs/>
          <w:sz w:val="24"/>
          <w:szCs w:val="24"/>
          <w:lang w:val="en-US" w:eastAsia="zh-CN"/>
        </w:rPr>
      </w:pPr>
      <w:r>
        <w:rPr>
          <w:rFonts w:hint="eastAsia" w:ascii="仿宋_GB2312" w:hAnsi="宋体" w:eastAsia="仿宋_GB2312"/>
          <w:b w:val="0"/>
          <w:bCs/>
          <w:sz w:val="24"/>
          <w:szCs w:val="24"/>
          <w:lang w:val="en-US" w:eastAsia="zh-CN"/>
        </w:rPr>
        <w:t>3.</w:t>
      </w:r>
      <w:r>
        <w:rPr>
          <w:rFonts w:hint="eastAsia" w:ascii="仿宋_GB2312" w:hAnsi="宋体" w:eastAsia="仿宋_GB2312"/>
          <w:sz w:val="24"/>
          <w:szCs w:val="24"/>
        </w:rPr>
        <w:t>乙方</w:t>
      </w:r>
      <w:r>
        <w:rPr>
          <w:rFonts w:hint="eastAsia" w:ascii="仿宋_GB2312" w:hAnsi="宋体" w:eastAsia="仿宋_GB2312"/>
          <w:b w:val="0"/>
          <w:bCs/>
          <w:sz w:val="24"/>
          <w:szCs w:val="24"/>
          <w:lang w:val="en-US" w:eastAsia="zh-CN"/>
        </w:rPr>
        <w:t>负责汽车运输时电煤拉运车辆必须安装与</w:t>
      </w:r>
      <w:r>
        <w:rPr>
          <w:rFonts w:hint="eastAsia" w:ascii="仿宋_GB2312" w:hAnsi="宋体" w:eastAsia="仿宋_GB2312"/>
          <w:sz w:val="24"/>
          <w:szCs w:val="24"/>
          <w:lang w:val="en-US" w:eastAsia="zh-CN"/>
        </w:rPr>
        <w:t>甲方</w:t>
      </w:r>
      <w:r>
        <w:rPr>
          <w:rFonts w:hint="eastAsia" w:ascii="仿宋_GB2312" w:hAnsi="宋体" w:eastAsia="仿宋_GB2312"/>
          <w:b w:val="0"/>
          <w:bCs/>
          <w:sz w:val="24"/>
          <w:szCs w:val="24"/>
          <w:lang w:val="en-US" w:eastAsia="zh-CN"/>
        </w:rPr>
        <w:t>配套运行的监控设备，具体要求如下：</w:t>
      </w:r>
    </w:p>
    <w:p w14:paraId="415C7493">
      <w:pPr>
        <w:ind w:firstLine="480" w:firstLineChars="200"/>
        <w:rPr>
          <w:rFonts w:hint="eastAsia" w:ascii="仿宋_GB2312" w:hAnsi="宋体" w:eastAsia="仿宋_GB2312"/>
          <w:b w:val="0"/>
          <w:bCs/>
          <w:sz w:val="24"/>
          <w:szCs w:val="24"/>
        </w:rPr>
      </w:pPr>
      <w:r>
        <w:rPr>
          <w:rFonts w:hint="eastAsia" w:ascii="仿宋_GB2312" w:hAnsi="宋体" w:eastAsia="仿宋_GB2312"/>
          <w:b w:val="0"/>
          <w:bCs/>
          <w:sz w:val="24"/>
          <w:szCs w:val="24"/>
        </w:rPr>
        <w:t>（1）配套监控设备由</w:t>
      </w:r>
      <w:r>
        <w:rPr>
          <w:rFonts w:hint="eastAsia" w:ascii="仿宋_GB2312" w:hAnsi="宋体" w:eastAsia="仿宋_GB2312"/>
          <w:b w:val="0"/>
          <w:bCs/>
          <w:sz w:val="24"/>
          <w:szCs w:val="24"/>
          <w:lang w:eastAsia="zh-CN"/>
        </w:rPr>
        <w:t>乙方</w:t>
      </w:r>
      <w:r>
        <w:rPr>
          <w:rFonts w:hint="eastAsia" w:ascii="仿宋_GB2312" w:hAnsi="宋体" w:eastAsia="仿宋_GB2312"/>
          <w:b w:val="0"/>
          <w:bCs/>
          <w:sz w:val="24"/>
          <w:szCs w:val="24"/>
        </w:rPr>
        <w:t>组织采购安装，费用由</w:t>
      </w:r>
      <w:r>
        <w:rPr>
          <w:rFonts w:hint="eastAsia" w:ascii="仿宋_GB2312" w:hAnsi="宋体" w:eastAsia="仿宋_GB2312"/>
          <w:b w:val="0"/>
          <w:bCs/>
          <w:sz w:val="24"/>
          <w:szCs w:val="24"/>
          <w:lang w:eastAsia="zh-CN"/>
        </w:rPr>
        <w:t>乙方</w:t>
      </w:r>
      <w:r>
        <w:rPr>
          <w:rFonts w:hint="eastAsia" w:ascii="仿宋_GB2312" w:hAnsi="宋体" w:eastAsia="仿宋_GB2312"/>
          <w:b w:val="0"/>
          <w:bCs/>
          <w:sz w:val="24"/>
          <w:szCs w:val="24"/>
        </w:rPr>
        <w:t>自行承担。</w:t>
      </w:r>
    </w:p>
    <w:p w14:paraId="59323899">
      <w:pPr>
        <w:ind w:firstLine="480" w:firstLineChars="200"/>
        <w:rPr>
          <w:rFonts w:hint="eastAsia" w:ascii="仿宋_GB2312" w:hAnsi="宋体" w:eastAsia="仿宋_GB2312"/>
          <w:b w:val="0"/>
          <w:bCs/>
          <w:sz w:val="24"/>
          <w:szCs w:val="24"/>
          <w:lang w:val="en-US"/>
        </w:rPr>
      </w:pPr>
      <w:r>
        <w:rPr>
          <w:rFonts w:hint="eastAsia" w:ascii="仿宋_GB2312" w:hAnsi="宋体" w:eastAsia="仿宋_GB2312"/>
          <w:b w:val="0"/>
          <w:bCs/>
          <w:sz w:val="24"/>
          <w:szCs w:val="24"/>
        </w:rPr>
        <w:t>（2）</w:t>
      </w:r>
      <w:r>
        <w:rPr>
          <w:rFonts w:hint="eastAsia" w:ascii="仿宋_GB2312" w:hAnsi="宋体" w:eastAsia="仿宋_GB2312"/>
          <w:b w:val="0"/>
          <w:bCs/>
          <w:sz w:val="24"/>
          <w:szCs w:val="24"/>
          <w:lang w:eastAsia="zh-CN"/>
        </w:rPr>
        <w:t>乙方</w:t>
      </w:r>
      <w:r>
        <w:rPr>
          <w:rFonts w:hint="eastAsia" w:ascii="仿宋_GB2312" w:hAnsi="宋体" w:eastAsia="仿宋_GB2312"/>
          <w:b w:val="0"/>
          <w:bCs/>
          <w:sz w:val="24"/>
          <w:szCs w:val="24"/>
        </w:rPr>
        <w:t>应无条件承诺每辆运煤车辆安装配套运行的监控设备，未安装车辆不得入厂</w:t>
      </w: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lang w:val="en-US" w:eastAsia="zh-CN"/>
        </w:rPr>
        <w:t>承运启动前，所有车辆必须安装能够接入大唐陕西公司燃料监控中心的全流程监控设备（运销宝）。发现未安装监控设备车辆入厂，按每辆车4000元的标准对乙方进行扣罚</w:t>
      </w:r>
      <w:r>
        <w:rPr>
          <w:rFonts w:hint="eastAsia" w:ascii="仿宋_GB2312" w:hAnsi="宋体" w:eastAsia="仿宋_GB2312"/>
          <w:b w:val="0"/>
          <w:bCs/>
          <w:sz w:val="24"/>
          <w:szCs w:val="24"/>
        </w:rPr>
        <w:t>。</w:t>
      </w:r>
      <w:r>
        <w:rPr>
          <w:rFonts w:hint="eastAsia" w:ascii="仿宋_GB2312" w:hAnsi="宋体" w:eastAsia="仿宋_GB2312"/>
          <w:b w:val="0"/>
          <w:bCs/>
          <w:sz w:val="24"/>
          <w:szCs w:val="24"/>
          <w:lang w:val="en-US" w:eastAsia="zh-CN"/>
        </w:rPr>
        <w:t>临时加大调运计划量增加车辆安装监控以甲方通知时间为准。</w:t>
      </w:r>
    </w:p>
    <w:p w14:paraId="1B5C0747">
      <w:pPr>
        <w:ind w:firstLine="480" w:firstLineChars="200"/>
        <w:rPr>
          <w:rFonts w:hint="eastAsia" w:ascii="仿宋_GB2312" w:hAnsi="宋体" w:eastAsia="仿宋_GB2312"/>
          <w:b w:val="0"/>
          <w:bCs/>
          <w:sz w:val="24"/>
          <w:szCs w:val="24"/>
        </w:rPr>
      </w:pPr>
      <w:r>
        <w:rPr>
          <w:rFonts w:hint="eastAsia" w:ascii="仿宋_GB2312" w:hAnsi="宋体" w:eastAsia="仿宋_GB2312"/>
          <w:b w:val="0"/>
          <w:bCs/>
          <w:sz w:val="24"/>
          <w:szCs w:val="24"/>
        </w:rPr>
        <w:t>（3）运煤车辆必须在煤矿装煤前先在系统接单，未按要求执行电厂有权按照每车1吨进行扣罚。运煤车辆未接单直接到厂，电厂有权按照每车3吨进行扣罚。</w:t>
      </w:r>
    </w:p>
    <w:p w14:paraId="26C83FBE">
      <w:pPr>
        <w:ind w:firstLine="480" w:firstLineChars="200"/>
        <w:rPr>
          <w:rFonts w:hint="eastAsia" w:ascii="仿宋_GB2312" w:hAnsi="宋体" w:eastAsia="仿宋_GB2312"/>
          <w:b w:val="0"/>
          <w:bCs/>
          <w:sz w:val="24"/>
          <w:szCs w:val="24"/>
        </w:rPr>
      </w:pPr>
      <w:r>
        <w:rPr>
          <w:rFonts w:hint="eastAsia" w:ascii="仿宋_GB2312" w:hAnsi="宋体" w:eastAsia="仿宋_GB2312"/>
          <w:b w:val="0"/>
          <w:bCs/>
          <w:sz w:val="24"/>
          <w:szCs w:val="24"/>
        </w:rPr>
        <w:t>（4）运煤车辆摄像头安装在车辆中间位置，正对车厢的摄像头在遮盖篷布位置挖洞，确保摄像头能清楚看清车厢内情况，未按要求执行电厂有权按照每车2吨进行扣罚。</w:t>
      </w:r>
    </w:p>
    <w:p w14:paraId="7722DE36">
      <w:pPr>
        <w:ind w:firstLine="480" w:firstLineChars="200"/>
        <w:rPr>
          <w:rFonts w:hint="eastAsia" w:ascii="仿宋_GB2312" w:hAnsi="宋体" w:eastAsia="仿宋_GB2312"/>
          <w:b w:val="0"/>
          <w:bCs/>
          <w:sz w:val="24"/>
          <w:szCs w:val="24"/>
        </w:rPr>
      </w:pPr>
      <w:r>
        <w:rPr>
          <w:rFonts w:hint="eastAsia" w:ascii="仿宋_GB2312" w:hAnsi="宋体" w:eastAsia="仿宋_GB2312"/>
          <w:b w:val="0"/>
          <w:bCs/>
          <w:sz w:val="24"/>
          <w:szCs w:val="24"/>
        </w:rPr>
        <w:t>（5）在拉运途中如出现摄像头遮盖、摄像头取景位置偏移等不能正常使用的情况，每拉运一次，电厂有权按照每车1吨进行扣罚。</w:t>
      </w:r>
    </w:p>
    <w:p w14:paraId="1CC411FB">
      <w:pPr>
        <w:ind w:firstLine="480" w:firstLineChars="200"/>
        <w:rPr>
          <w:rFonts w:hint="eastAsia" w:ascii="仿宋_GB2312" w:hAnsi="宋体" w:eastAsia="仿宋_GB2312"/>
          <w:b w:val="0"/>
          <w:bCs/>
          <w:sz w:val="24"/>
          <w:szCs w:val="24"/>
        </w:rPr>
      </w:pP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lang w:val="en-US" w:eastAsia="zh-CN"/>
        </w:rPr>
        <w:t>6</w:t>
      </w: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rPr>
        <w:t>其他违规情况</w:t>
      </w:r>
      <w:r>
        <w:rPr>
          <w:rFonts w:hint="eastAsia" w:ascii="仿宋_GB2312" w:hAnsi="宋体" w:eastAsia="仿宋_GB2312"/>
          <w:b w:val="0"/>
          <w:bCs/>
          <w:sz w:val="24"/>
          <w:szCs w:val="24"/>
          <w:lang w:val="en-US" w:eastAsia="zh-CN"/>
        </w:rPr>
        <w:t>按照拉运监管过程中甲方的通知内容</w:t>
      </w:r>
      <w:r>
        <w:rPr>
          <w:rFonts w:hint="eastAsia" w:ascii="仿宋_GB2312" w:hAnsi="宋体" w:eastAsia="仿宋_GB2312"/>
          <w:b w:val="0"/>
          <w:bCs/>
          <w:sz w:val="24"/>
          <w:szCs w:val="24"/>
        </w:rPr>
        <w:t>视情况进行扣吨</w:t>
      </w: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rPr>
        <w:t>同一辆车反复出现以上情况，电厂有权翻倍进行扣罚。</w:t>
      </w:r>
    </w:p>
    <w:p w14:paraId="02129F61">
      <w:pPr>
        <w:ind w:firstLine="480" w:firstLineChars="200"/>
        <w:rPr>
          <w:rFonts w:hint="eastAsia" w:ascii="仿宋_GB2312" w:hAnsi="宋体" w:eastAsia="仿宋_GB2312"/>
          <w:b w:val="0"/>
          <w:bCs/>
          <w:sz w:val="24"/>
          <w:szCs w:val="24"/>
          <w:lang w:eastAsia="zh-CN"/>
        </w:rPr>
      </w:pP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lang w:val="en-US" w:eastAsia="zh-CN"/>
        </w:rPr>
        <w:t>7</w:t>
      </w:r>
      <w:r>
        <w:rPr>
          <w:rFonts w:hint="eastAsia" w:ascii="仿宋_GB2312" w:hAnsi="宋体" w:eastAsia="仿宋_GB2312"/>
          <w:b w:val="0"/>
          <w:bCs/>
          <w:sz w:val="24"/>
          <w:szCs w:val="24"/>
          <w:lang w:eastAsia="zh-CN"/>
        </w:rPr>
        <w:t>）</w:t>
      </w:r>
      <w:r>
        <w:rPr>
          <w:rFonts w:hint="eastAsia" w:ascii="仿宋_GB2312" w:hAnsi="宋体" w:eastAsia="仿宋_GB2312"/>
          <w:b w:val="0"/>
          <w:bCs/>
          <w:sz w:val="24"/>
          <w:szCs w:val="24"/>
          <w:lang w:val="en-US" w:eastAsia="zh-CN"/>
        </w:rPr>
        <w:t>所有拉运车辆在煤矿装完煤后必须加装铅封，</w:t>
      </w:r>
      <w:r>
        <w:rPr>
          <w:rFonts w:hint="eastAsia" w:ascii="仿宋_GB2312" w:hAnsi="宋体" w:eastAsia="仿宋_GB2312"/>
          <w:b w:val="0"/>
          <w:bCs/>
          <w:sz w:val="24"/>
          <w:szCs w:val="24"/>
          <w:lang w:eastAsia="zh-CN"/>
        </w:rPr>
        <w:t>未按要求执行电厂有权按照每车</w:t>
      </w:r>
      <w:r>
        <w:rPr>
          <w:rFonts w:hint="eastAsia" w:ascii="仿宋_GB2312" w:hAnsi="宋体" w:eastAsia="仿宋_GB2312"/>
          <w:b w:val="0"/>
          <w:bCs/>
          <w:sz w:val="24"/>
          <w:szCs w:val="24"/>
          <w:lang w:val="en-US" w:eastAsia="zh-CN"/>
        </w:rPr>
        <w:t>1</w:t>
      </w:r>
      <w:r>
        <w:rPr>
          <w:rFonts w:hint="eastAsia" w:ascii="仿宋_GB2312" w:hAnsi="宋体" w:eastAsia="仿宋_GB2312"/>
          <w:b w:val="0"/>
          <w:bCs/>
          <w:sz w:val="24"/>
          <w:szCs w:val="24"/>
          <w:lang w:eastAsia="zh-CN"/>
        </w:rPr>
        <w:t>吨进行扣罚。</w:t>
      </w:r>
    </w:p>
    <w:p w14:paraId="0296FCB5">
      <w:pPr>
        <w:ind w:firstLine="482" w:firstLineChars="200"/>
        <w:rPr>
          <w:rFonts w:ascii="仿宋_GB2312" w:hAnsi="宋体" w:eastAsia="仿宋_GB2312"/>
          <w:b/>
          <w:sz w:val="24"/>
          <w:szCs w:val="24"/>
        </w:rPr>
      </w:pPr>
      <w:r>
        <w:rPr>
          <w:rFonts w:hint="eastAsia" w:ascii="仿宋_GB2312" w:hAnsi="宋体" w:eastAsia="仿宋_GB2312"/>
          <w:b/>
          <w:sz w:val="24"/>
          <w:szCs w:val="24"/>
        </w:rPr>
        <w:t>六、计量方式：</w:t>
      </w:r>
    </w:p>
    <w:p w14:paraId="3377CF9A">
      <w:pPr>
        <w:ind w:firstLine="480" w:firstLineChars="200"/>
        <w:rPr>
          <w:rFonts w:hint="eastAsia" w:ascii="仿宋_GB2312" w:hAnsi="宋体" w:eastAsia="仿宋_GB2312"/>
          <w:sz w:val="24"/>
          <w:szCs w:val="24"/>
        </w:rPr>
      </w:pPr>
      <w:r>
        <w:rPr>
          <w:rFonts w:hint="eastAsia" w:ascii="仿宋_GB2312" w:hAnsi="宋体" w:eastAsia="仿宋_GB2312"/>
          <w:sz w:val="24"/>
          <w:szCs w:val="24"/>
        </w:rPr>
        <w:t>1.数量要求：</w:t>
      </w:r>
    </w:p>
    <w:p w14:paraId="2CB4A0D1">
      <w:pPr>
        <w:ind w:firstLine="480" w:firstLineChars="200"/>
        <w:rPr>
          <w:rFonts w:hint="eastAsia" w:ascii="仿宋_GB2312" w:hAnsi="宋体" w:eastAsia="仿宋_GB2312"/>
          <w:sz w:val="24"/>
          <w:szCs w:val="24"/>
        </w:rPr>
      </w:pPr>
      <w:r>
        <w:rPr>
          <w:rFonts w:hint="eastAsia" w:ascii="仿宋_GB2312" w:hAnsi="宋体" w:eastAsia="仿宋_GB2312"/>
          <w:sz w:val="24"/>
          <w:szCs w:val="24"/>
        </w:rPr>
        <w:t>（1）承运</w:t>
      </w:r>
      <w:r>
        <w:rPr>
          <w:rFonts w:hint="eastAsia" w:ascii="仿宋_GB2312" w:hAnsi="宋体" w:eastAsia="仿宋_GB2312"/>
          <w:sz w:val="24"/>
          <w:szCs w:val="24"/>
          <w:lang w:val="en-US" w:eastAsia="zh-CN"/>
        </w:rPr>
        <w:t>运费</w:t>
      </w:r>
      <w:r>
        <w:rPr>
          <w:rFonts w:hint="eastAsia" w:ascii="仿宋_GB2312" w:hAnsi="宋体" w:eastAsia="仿宋_GB2312"/>
          <w:sz w:val="24"/>
          <w:szCs w:val="24"/>
        </w:rPr>
        <w:t>结算数量以</w:t>
      </w:r>
      <w:r>
        <w:rPr>
          <w:rFonts w:hint="eastAsia" w:ascii="仿宋_GB2312" w:hAnsi="宋体" w:eastAsia="仿宋_GB2312"/>
          <w:sz w:val="24"/>
          <w:szCs w:val="24"/>
          <w:lang w:val="en-US" w:eastAsia="zh-CN"/>
        </w:rPr>
        <w:t>到厂</w:t>
      </w:r>
      <w:r>
        <w:rPr>
          <w:rFonts w:hint="eastAsia" w:ascii="仿宋_GB2312" w:hAnsi="宋体" w:eastAsia="仿宋_GB2312"/>
          <w:sz w:val="24"/>
          <w:szCs w:val="24"/>
        </w:rPr>
        <w:t>计量数据为依据：到厂数量和矿发数量的量差按实际煤款，从运费中扣除，以此作为结算依据。</w:t>
      </w:r>
    </w:p>
    <w:p w14:paraId="4640CEBA">
      <w:pPr>
        <w:ind w:firstLine="480" w:firstLineChars="200"/>
        <w:rPr>
          <w:rFonts w:hint="eastAsia" w:ascii="仿宋_GB2312" w:hAnsi="宋体" w:eastAsia="仿宋_GB2312"/>
          <w:sz w:val="24"/>
          <w:szCs w:val="24"/>
        </w:rPr>
      </w:pPr>
      <w:r>
        <w:rPr>
          <w:rFonts w:hint="eastAsia" w:ascii="仿宋_GB2312" w:hAnsi="宋体" w:eastAsia="仿宋_GB2312"/>
          <w:sz w:val="24"/>
          <w:szCs w:val="24"/>
        </w:rPr>
        <w:t>2.质量要求：</w:t>
      </w:r>
    </w:p>
    <w:p w14:paraId="406C29B0">
      <w:pPr>
        <w:ind w:firstLine="480" w:firstLineChars="200"/>
        <w:rPr>
          <w:rFonts w:hint="eastAsia" w:ascii="仿宋_GB2312" w:hAnsi="宋体" w:eastAsia="仿宋_GB2312" w:cs="Times New Roman"/>
          <w:sz w:val="24"/>
          <w:szCs w:val="24"/>
        </w:rPr>
      </w:pPr>
      <w:r>
        <w:rPr>
          <w:rFonts w:hint="eastAsia" w:ascii="仿宋_GB2312" w:hAnsi="宋体" w:eastAsia="仿宋_GB2312" w:cs="Times New Roman"/>
          <w:sz w:val="24"/>
          <w:szCs w:val="24"/>
        </w:rPr>
        <w:t>（1）若煤炭购销合同以到厂热值作为结算依据，承运热值以到厂化验热值数据为准，并以此作为结算依据。</w:t>
      </w:r>
    </w:p>
    <w:p w14:paraId="0310C165">
      <w:pPr>
        <w:ind w:firstLine="480" w:firstLineChars="200"/>
        <w:rPr>
          <w:rFonts w:hint="eastAsia" w:ascii="仿宋_GB2312" w:hAnsi="宋体" w:eastAsia="仿宋_GB2312" w:cs="Times New Roman"/>
          <w:sz w:val="24"/>
          <w:szCs w:val="24"/>
        </w:rPr>
      </w:pPr>
      <w:r>
        <w:rPr>
          <w:rFonts w:hint="eastAsia" w:ascii="仿宋_GB2312" w:hAnsi="宋体" w:eastAsia="仿宋_GB2312" w:cs="Times New Roman"/>
          <w:sz w:val="24"/>
          <w:szCs w:val="24"/>
        </w:rPr>
        <w:t>（2）若煤炭购销合同以矿发或第三方热值作为结算依据，到厂加权热值低于矿方或第三方煤炭化验热值，若热值差在50千卡/千克以内，由采购单位承担；若热值差超过50千卡/千克时，超出部分由竞价成交单位承担，按照同周期煤炭购销结算卡价×（矿方或第三方化验热值-入厂加权化验热值-50千卡/千克）×结算量，从运费中予以扣除，运费不足扣除时，从履约保证金中继续扣除。仍不足扣除，则在合同周期次月继续扣减，全合同周期以总运费加履约保证金总额为扣款上限。</w:t>
      </w:r>
    </w:p>
    <w:p w14:paraId="09FE75E5">
      <w:pPr>
        <w:tabs>
          <w:tab w:val="left" w:pos="3471"/>
        </w:tabs>
        <w:ind w:firstLine="482" w:firstLineChars="200"/>
        <w:rPr>
          <w:rFonts w:hint="eastAsia" w:ascii="仿宋_GB2312" w:hAnsi="宋体" w:eastAsia="仿宋_GB2312"/>
          <w:b/>
          <w:sz w:val="24"/>
          <w:szCs w:val="24"/>
        </w:rPr>
      </w:pPr>
      <w:r>
        <w:rPr>
          <w:rFonts w:hint="eastAsia" w:ascii="仿宋_GB2312" w:hAnsi="宋体" w:eastAsia="仿宋_GB2312"/>
          <w:b/>
          <w:sz w:val="24"/>
          <w:szCs w:val="24"/>
        </w:rPr>
        <w:t>七、服务范围和调运要求</w:t>
      </w:r>
    </w:p>
    <w:p w14:paraId="5E3E2472">
      <w:pPr>
        <w:ind w:firstLine="480" w:firstLineChars="200"/>
        <w:rPr>
          <w:rFonts w:hint="eastAsia" w:ascii="仿宋_GB2312" w:hAnsi="宋体" w:eastAsia="仿宋_GB2312"/>
          <w:sz w:val="24"/>
          <w:szCs w:val="24"/>
        </w:rPr>
      </w:pPr>
      <w:r>
        <w:rPr>
          <w:rFonts w:hint="eastAsia" w:ascii="仿宋_GB2312" w:hAnsi="宋体" w:eastAsia="仿宋_GB2312"/>
          <w:sz w:val="24"/>
          <w:szCs w:val="24"/>
        </w:rPr>
        <w:t>1.本标段履约保证金20万元（贰拾万元）。履约保证金是为了保证</w:t>
      </w:r>
      <w:r>
        <w:rPr>
          <w:rFonts w:hint="eastAsia" w:ascii="仿宋_GB2312" w:hAnsi="宋体" w:eastAsia="仿宋_GB2312"/>
          <w:sz w:val="24"/>
          <w:szCs w:val="24"/>
          <w:lang w:val="en-US" w:eastAsia="zh-CN"/>
        </w:rPr>
        <w:t>乙方</w:t>
      </w:r>
      <w:r>
        <w:rPr>
          <w:rFonts w:hint="eastAsia" w:ascii="仿宋_GB2312" w:hAnsi="宋体" w:eastAsia="仿宋_GB2312"/>
          <w:sz w:val="24"/>
          <w:szCs w:val="24"/>
        </w:rPr>
        <w:t>如约完成本标段承运义务，而向</w:t>
      </w:r>
      <w:r>
        <w:rPr>
          <w:rFonts w:hint="eastAsia" w:ascii="仿宋_GB2312" w:hAnsi="宋体" w:eastAsia="仿宋_GB2312"/>
          <w:sz w:val="24"/>
          <w:szCs w:val="24"/>
          <w:lang w:val="en-US" w:eastAsia="zh-CN"/>
        </w:rPr>
        <w:t>甲方</w:t>
      </w:r>
      <w:r>
        <w:rPr>
          <w:rFonts w:hint="eastAsia" w:ascii="仿宋_GB2312" w:hAnsi="宋体" w:eastAsia="仿宋_GB2312"/>
          <w:sz w:val="24"/>
          <w:szCs w:val="24"/>
        </w:rPr>
        <w:t>提供的履约担保。竞价成交通知书发出后，</w:t>
      </w:r>
      <w:r>
        <w:rPr>
          <w:rFonts w:hint="eastAsia" w:ascii="仿宋_GB2312" w:hAnsi="宋体" w:eastAsia="仿宋_GB2312"/>
          <w:sz w:val="24"/>
          <w:szCs w:val="24"/>
          <w:lang w:val="en-US" w:eastAsia="zh-CN"/>
        </w:rPr>
        <w:t>乙方</w:t>
      </w:r>
      <w:r>
        <w:rPr>
          <w:rFonts w:hint="eastAsia" w:ascii="仿宋_GB2312" w:hAnsi="宋体" w:eastAsia="仿宋_GB2312"/>
          <w:sz w:val="24"/>
          <w:szCs w:val="24"/>
        </w:rPr>
        <w:t>的竞价保证金自动转为履约保证金。</w:t>
      </w:r>
    </w:p>
    <w:p w14:paraId="57F82F86">
      <w:pPr>
        <w:ind w:firstLine="480" w:firstLineChars="200"/>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2.</w:t>
      </w:r>
      <w:r>
        <w:rPr>
          <w:rFonts w:hint="eastAsia" w:ascii="仿宋_GB2312" w:hAnsi="宋体" w:eastAsia="仿宋_GB2312"/>
          <w:sz w:val="24"/>
          <w:szCs w:val="24"/>
        </w:rPr>
        <w:t>乙方负责与矿方商谈一切事项，包括数量、质量差，协调矿方加量。如解决不了以上问题，出现拉运不出煤，调运量不够，扣除其</w:t>
      </w:r>
      <w:r>
        <w:rPr>
          <w:rFonts w:hint="eastAsia" w:ascii="仿宋_GB2312" w:hAnsi="宋体" w:eastAsia="仿宋_GB2312"/>
          <w:sz w:val="24"/>
          <w:szCs w:val="24"/>
          <w:lang w:val="en-US" w:eastAsia="zh-CN"/>
        </w:rPr>
        <w:t>3</w:t>
      </w:r>
      <w:r>
        <w:rPr>
          <w:rFonts w:hint="eastAsia" w:ascii="仿宋_GB2312" w:hAnsi="宋体" w:eastAsia="仿宋_GB2312"/>
          <w:sz w:val="24"/>
          <w:szCs w:val="24"/>
        </w:rPr>
        <w:t>万保证金并冻结其</w:t>
      </w:r>
      <w:r>
        <w:rPr>
          <w:rFonts w:hint="eastAsia" w:ascii="仿宋_GB2312" w:hAnsi="宋体" w:eastAsia="仿宋_GB2312"/>
          <w:sz w:val="24"/>
          <w:szCs w:val="24"/>
          <w:lang w:val="en-US" w:eastAsia="zh-CN"/>
        </w:rPr>
        <w:t>6个月</w:t>
      </w:r>
      <w:r>
        <w:rPr>
          <w:rFonts w:hint="eastAsia" w:ascii="仿宋_GB2312" w:hAnsi="宋体" w:eastAsia="仿宋_GB2312"/>
          <w:sz w:val="24"/>
          <w:szCs w:val="24"/>
        </w:rPr>
        <w:t>在大唐陕西发电公司</w:t>
      </w:r>
      <w:r>
        <w:rPr>
          <w:rFonts w:hint="eastAsia" w:ascii="仿宋_GB2312" w:hAnsi="宋体" w:eastAsia="仿宋_GB2312"/>
          <w:sz w:val="24"/>
          <w:szCs w:val="24"/>
          <w:lang w:val="en-US" w:eastAsia="zh-CN"/>
        </w:rPr>
        <w:t>竞价</w:t>
      </w:r>
      <w:r>
        <w:rPr>
          <w:rFonts w:hint="eastAsia" w:ascii="仿宋_GB2312" w:hAnsi="宋体" w:eastAsia="仿宋_GB2312"/>
          <w:sz w:val="24"/>
          <w:szCs w:val="24"/>
        </w:rPr>
        <w:t>资格。</w:t>
      </w:r>
    </w:p>
    <w:p w14:paraId="6925ED52">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3</w:t>
      </w:r>
      <w:r>
        <w:rPr>
          <w:rFonts w:hint="eastAsia" w:ascii="仿宋_GB2312" w:hAnsi="宋体" w:eastAsia="仿宋_GB2312"/>
          <w:sz w:val="24"/>
          <w:szCs w:val="24"/>
        </w:rPr>
        <w:t>.乙方负责由煤矿至电厂的煤车组织及拉运工作，安排现场负责人驻煤矿、</w:t>
      </w:r>
      <w:r>
        <w:rPr>
          <w:rFonts w:hint="eastAsia" w:ascii="仿宋_GB2312" w:hAnsi="宋体" w:eastAsia="仿宋_GB2312"/>
          <w:sz w:val="24"/>
          <w:szCs w:val="24"/>
          <w:lang w:eastAsia="zh-CN"/>
        </w:rPr>
        <w:t>延安北站、</w:t>
      </w:r>
      <w:r>
        <w:rPr>
          <w:rFonts w:hint="eastAsia" w:ascii="仿宋_GB2312" w:hAnsi="宋体" w:eastAsia="仿宋_GB2312"/>
          <w:sz w:val="24"/>
          <w:szCs w:val="24"/>
        </w:rPr>
        <w:t>电厂，组织煤矿煤炭发运，乙方按照矿点煤炭发运计划组织汽车煤发运，配合厂矿进行煤炭装车、煤炭验收等。乙方发生违反《中国大唐集团有限公司煤炭供应商管理办法》的行为，甲方将按照办法对乙方进行停用（包括“冻结”和“黑名单”）。</w:t>
      </w:r>
    </w:p>
    <w:p w14:paraId="69D75F02">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4</w:t>
      </w:r>
      <w:r>
        <w:rPr>
          <w:rFonts w:hint="eastAsia" w:ascii="仿宋_GB2312" w:hAnsi="宋体" w:eastAsia="仿宋_GB2312"/>
          <w:sz w:val="24"/>
          <w:szCs w:val="24"/>
        </w:rPr>
        <w:t>.乙方运输车辆必须熟知和遵守甲方的《</w:t>
      </w:r>
      <w:r>
        <w:rPr>
          <w:rFonts w:hint="eastAsia" w:ascii="仿宋_GB2312" w:hAnsi="宋体" w:eastAsia="仿宋_GB2312"/>
          <w:sz w:val="24"/>
          <w:szCs w:val="24"/>
          <w:lang w:val="en-US" w:eastAsia="zh-CN"/>
        </w:rPr>
        <w:t>煤质异常管理规定</w:t>
      </w:r>
      <w:r>
        <w:rPr>
          <w:rFonts w:hint="eastAsia" w:ascii="仿宋_GB2312" w:hAnsi="宋体" w:eastAsia="仿宋_GB2312"/>
          <w:sz w:val="24"/>
          <w:szCs w:val="24"/>
        </w:rPr>
        <w:t>》等，服从煤场人员的调度管理，发生违反上述制度的责任由</w:t>
      </w:r>
      <w:r>
        <w:rPr>
          <w:rFonts w:hint="eastAsia" w:ascii="仿宋_GB2312" w:hAnsi="宋体" w:eastAsia="仿宋_GB2312"/>
          <w:sz w:val="24"/>
          <w:szCs w:val="24"/>
          <w:lang w:val="en-US" w:eastAsia="zh-CN"/>
        </w:rPr>
        <w:t>乙方</w:t>
      </w:r>
      <w:r>
        <w:rPr>
          <w:rFonts w:hint="eastAsia" w:ascii="仿宋_GB2312" w:hAnsi="宋体" w:eastAsia="仿宋_GB2312"/>
          <w:sz w:val="24"/>
          <w:szCs w:val="24"/>
        </w:rPr>
        <w:t>承担。</w:t>
      </w:r>
    </w:p>
    <w:p w14:paraId="231482DE">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5</w:t>
      </w:r>
      <w:r>
        <w:rPr>
          <w:rFonts w:hint="eastAsia" w:ascii="仿宋_GB2312" w:hAnsi="宋体" w:eastAsia="仿宋_GB2312"/>
          <w:sz w:val="24"/>
          <w:szCs w:val="24"/>
        </w:rPr>
        <w:t>.乙方负责协调矿点发运量，确保矿点发运量与到厂量足量兑现。</w:t>
      </w:r>
    </w:p>
    <w:p w14:paraId="08DA93A3">
      <w:pPr>
        <w:tabs>
          <w:tab w:val="left" w:pos="426"/>
        </w:tabs>
        <w:ind w:firstLine="480" w:firstLineChars="200"/>
        <w:rPr>
          <w:rFonts w:ascii="仿宋_GB2312" w:hAnsi="宋体" w:eastAsia="仿宋_GB2312"/>
          <w:sz w:val="24"/>
          <w:szCs w:val="24"/>
        </w:rPr>
      </w:pP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.乙方在承运甲方的电煤中，应遵守以下</w:t>
      </w:r>
      <w:r>
        <w:rPr>
          <w:rFonts w:hint="eastAsia" w:ascii="仿宋_GB2312" w:hAnsi="宋体" w:eastAsia="仿宋_GB2312"/>
          <w:sz w:val="24"/>
          <w:szCs w:val="24"/>
        </w:rPr>
        <w:t>条款：</w:t>
      </w:r>
    </w:p>
    <w:p w14:paraId="44FD310C">
      <w:pPr>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1</w:t>
      </w:r>
      <w:r>
        <w:rPr>
          <w:rFonts w:hint="eastAsia" w:ascii="仿宋_GB2312" w:hAnsi="宋体" w:eastAsia="仿宋_GB2312"/>
          <w:sz w:val="24"/>
          <w:szCs w:val="24"/>
          <w:lang w:eastAsia="zh-CN"/>
        </w:rPr>
        <w:t>）对发生丢煤换煤、私下将煤卖给第三方的行为，甲方有权全额扣除履约保证金，并按“甲方损失煤量×当月甲方结算煤价×3”的赔偿标准向乙方主张损害赔偿责任，甲方有权从乙方当月运费中予以优先扣除。</w:t>
      </w:r>
    </w:p>
    <w:p w14:paraId="6C48BB9F">
      <w:pPr>
        <w:ind w:firstLine="480" w:firstLineChars="200"/>
        <w:rPr>
          <w:rFonts w:ascii="仿宋_GB2312" w:hAnsi="宋体" w:eastAsia="仿宋_GB2312"/>
          <w:sz w:val="24"/>
          <w:szCs w:val="24"/>
        </w:rPr>
      </w:pP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2</w:t>
      </w:r>
      <w:r>
        <w:rPr>
          <w:rFonts w:hint="eastAsia" w:ascii="仿宋_GB2312" w:hAnsi="宋体" w:eastAsia="仿宋_GB2312"/>
          <w:sz w:val="24"/>
          <w:szCs w:val="24"/>
          <w:lang w:eastAsia="zh-CN"/>
        </w:rPr>
        <w:t>）</w:t>
      </w:r>
      <w:r>
        <w:rPr>
          <w:rFonts w:hint="eastAsia" w:ascii="仿宋_GB2312" w:hAnsi="宋体" w:eastAsia="仿宋_GB2312"/>
          <w:sz w:val="24"/>
          <w:szCs w:val="24"/>
        </w:rPr>
        <w:t>对矿发量小于到厂验收量、乙方不能说明原因的超差吨位，甲方有权拒绝结算。</w:t>
      </w:r>
    </w:p>
    <w:p w14:paraId="2C1AA8D9">
      <w:pPr>
        <w:tabs>
          <w:tab w:val="left" w:pos="426"/>
        </w:tabs>
        <w:ind w:firstLine="480" w:firstLineChars="200"/>
        <w:rPr>
          <w:rFonts w:hint="eastAsia" w:ascii="仿宋_GB2312" w:hAnsi="宋体" w:eastAsia="仿宋_GB2312"/>
          <w:sz w:val="24"/>
          <w:szCs w:val="24"/>
        </w:rPr>
      </w:pP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3</w:t>
      </w:r>
      <w:r>
        <w:rPr>
          <w:rFonts w:hint="eastAsia" w:ascii="仿宋_GB2312" w:hAnsi="宋体" w:eastAsia="仿宋_GB2312"/>
          <w:sz w:val="24"/>
          <w:szCs w:val="24"/>
          <w:lang w:eastAsia="zh-CN"/>
        </w:rPr>
        <w:t>）</w:t>
      </w:r>
      <w:r>
        <w:rPr>
          <w:rFonts w:hint="eastAsia" w:ascii="仿宋_GB2312" w:hAnsi="宋体" w:eastAsia="仿宋_GB2312"/>
          <w:sz w:val="24"/>
          <w:szCs w:val="24"/>
        </w:rPr>
        <w:t>乙方不得另行采购燃煤来弥补矿发量与到厂量之间的煤量损耗差。</w:t>
      </w:r>
    </w:p>
    <w:p w14:paraId="6D52A302">
      <w:pPr>
        <w:tabs>
          <w:tab w:val="left" w:pos="426"/>
        </w:tabs>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4</w:t>
      </w:r>
      <w:r>
        <w:rPr>
          <w:rFonts w:hint="eastAsia" w:ascii="仿宋_GB2312" w:hAnsi="宋体" w:eastAsia="仿宋_GB2312"/>
          <w:sz w:val="24"/>
          <w:szCs w:val="24"/>
          <w:lang w:eastAsia="zh-CN"/>
        </w:rPr>
        <w:t>）乙方在履行承运义务的过程中，严禁在承运电煤中掺杂使假，包括但不限于掺煤矸石、煤泥、煤渣、气化渣等。一经发现，</w:t>
      </w:r>
      <w:r>
        <w:rPr>
          <w:rFonts w:hint="eastAsia" w:ascii="仿宋_GB2312" w:hAnsi="宋体" w:eastAsia="仿宋_GB2312"/>
          <w:sz w:val="24"/>
          <w:szCs w:val="24"/>
          <w:lang w:val="en-US" w:eastAsia="zh-CN"/>
        </w:rPr>
        <w:t>甲方</w:t>
      </w:r>
      <w:r>
        <w:rPr>
          <w:rFonts w:hint="eastAsia" w:ascii="仿宋_GB2312" w:hAnsi="宋体" w:eastAsia="仿宋_GB2312"/>
          <w:sz w:val="24"/>
          <w:szCs w:val="24"/>
          <w:lang w:eastAsia="zh-CN"/>
        </w:rPr>
        <w:t>按“甲方损失煤量×当月甲方结算煤价×3”的</w:t>
      </w:r>
      <w:r>
        <w:rPr>
          <w:rFonts w:hint="eastAsia" w:ascii="仿宋_GB2312" w:hAnsi="宋体" w:eastAsia="仿宋_GB2312"/>
          <w:sz w:val="24"/>
          <w:szCs w:val="24"/>
          <w:lang w:val="en-US" w:eastAsia="zh-CN"/>
        </w:rPr>
        <w:t>赔偿标准从乙方运费中扣除，</w:t>
      </w:r>
      <w:r>
        <w:rPr>
          <w:rFonts w:hint="eastAsia" w:ascii="仿宋_GB2312" w:hAnsi="宋体" w:eastAsia="仿宋_GB2312"/>
          <w:sz w:val="24"/>
          <w:szCs w:val="24"/>
        </w:rPr>
        <w:t>运费不足扣除时，从履约保证金中继续扣除，仍不足扣除，则在合同周期次月继续扣减，全合同周期以总运费加履约保证金总额为扣款上限</w:t>
      </w:r>
      <w:r>
        <w:rPr>
          <w:rFonts w:hint="eastAsia" w:ascii="仿宋_GB2312" w:hAnsi="宋体" w:eastAsia="仿宋_GB2312"/>
          <w:sz w:val="24"/>
          <w:szCs w:val="24"/>
          <w:lang w:val="en-US" w:eastAsia="zh-CN"/>
        </w:rPr>
        <w:t>。</w:t>
      </w:r>
      <w:r>
        <w:rPr>
          <w:rFonts w:hint="eastAsia" w:ascii="仿宋_GB2312" w:hAnsi="宋体" w:eastAsia="仿宋_GB2312"/>
          <w:sz w:val="24"/>
          <w:szCs w:val="24"/>
          <w:lang w:eastAsia="zh-CN"/>
        </w:rPr>
        <w:t>构成犯罪的，依法移交司法机关处理。</w:t>
      </w:r>
    </w:p>
    <w:p w14:paraId="49C5F0CA">
      <w:pPr>
        <w:ind w:firstLine="480" w:firstLineChars="200"/>
        <w:rPr>
          <w:rFonts w:ascii="仿宋_GB2312" w:hAnsi="宋体" w:eastAsia="仿宋_GB2312"/>
          <w:sz w:val="24"/>
          <w:szCs w:val="24"/>
        </w:rPr>
      </w:pPr>
      <w:r>
        <w:rPr>
          <w:rFonts w:hint="eastAsia" w:ascii="仿宋_GB2312" w:hAnsi="宋体" w:eastAsia="仿宋_GB2312"/>
          <w:sz w:val="24"/>
          <w:szCs w:val="24"/>
          <w:lang w:val="en-US" w:eastAsia="zh-CN"/>
        </w:rPr>
        <w:t>7</w:t>
      </w:r>
      <w:r>
        <w:rPr>
          <w:rFonts w:hint="eastAsia" w:ascii="仿宋_GB2312" w:hAnsi="宋体" w:eastAsia="仿宋_GB2312"/>
          <w:sz w:val="24"/>
          <w:szCs w:val="24"/>
        </w:rPr>
        <w:t>.</w:t>
      </w:r>
      <w:r>
        <w:rPr>
          <w:rFonts w:ascii="仿宋_GB2312" w:hAnsi="宋体" w:eastAsia="仿宋_GB2312"/>
          <w:sz w:val="24"/>
          <w:szCs w:val="24"/>
        </w:rPr>
        <w:t>乙方义务：</w:t>
      </w:r>
    </w:p>
    <w:p w14:paraId="490E7115">
      <w:pPr>
        <w:ind w:firstLine="480" w:firstLineChars="200"/>
        <w:rPr>
          <w:rFonts w:ascii="仿宋_GB2312" w:hAnsi="宋体" w:eastAsia="仿宋_GB2312"/>
          <w:sz w:val="24"/>
          <w:szCs w:val="24"/>
          <w:highlight w:val="none"/>
        </w:rPr>
      </w:pPr>
      <w:r>
        <w:rPr>
          <w:rFonts w:hint="eastAsia" w:ascii="仿宋_GB2312" w:hAnsi="宋体" w:eastAsia="仿宋_GB2312"/>
          <w:sz w:val="24"/>
          <w:szCs w:val="24"/>
          <w:highlight w:val="none"/>
          <w:lang w:eastAsia="zh-CN"/>
        </w:rPr>
        <w:t>（</w:t>
      </w:r>
      <w:r>
        <w:rPr>
          <w:rFonts w:hint="default" w:ascii="仿宋_GB2312" w:hAnsi="宋体" w:eastAsia="仿宋_GB2312"/>
          <w:sz w:val="24"/>
          <w:szCs w:val="24"/>
          <w:highlight w:val="none"/>
          <w:lang w:val="en-US" w:eastAsia="zh-CN"/>
        </w:rPr>
        <w:t>1</w:t>
      </w:r>
      <w:r>
        <w:rPr>
          <w:rFonts w:hint="eastAsia" w:ascii="仿宋_GB2312" w:hAnsi="宋体" w:eastAsia="仿宋_GB2312"/>
          <w:sz w:val="24"/>
          <w:szCs w:val="24"/>
          <w:highlight w:val="none"/>
          <w:lang w:eastAsia="zh-CN"/>
        </w:rPr>
        <w:t>）</w:t>
      </w:r>
      <w:r>
        <w:rPr>
          <w:rFonts w:hint="eastAsia" w:ascii="仿宋_GB2312" w:hAnsi="宋体" w:eastAsia="仿宋_GB2312"/>
          <w:sz w:val="24"/>
          <w:szCs w:val="24"/>
          <w:lang w:val="en-US" w:eastAsia="zh-CN"/>
        </w:rPr>
        <w:t>因乙方原因导致运输计划作废、煤炭到站不能及时卸车等情况所产生的一切后果（含大唐延安热电厂受损相关费用）由乙方承担</w:t>
      </w:r>
      <w:r>
        <w:rPr>
          <w:rFonts w:hint="eastAsia" w:ascii="仿宋_GB2312" w:hAnsi="宋体" w:eastAsia="仿宋_GB2312"/>
          <w:sz w:val="24"/>
          <w:szCs w:val="24"/>
          <w:lang w:eastAsia="zh-CN"/>
        </w:rPr>
        <w:t>。</w:t>
      </w:r>
    </w:p>
    <w:p w14:paraId="5067B0DA">
      <w:pPr>
        <w:ind w:firstLine="480" w:firstLineChars="200"/>
        <w:rPr>
          <w:rFonts w:hint="eastAsia" w:ascii="仿宋_GB2312" w:hAnsi="宋体" w:eastAsia="仿宋_GB2312"/>
          <w:sz w:val="24"/>
          <w:szCs w:val="24"/>
        </w:rPr>
      </w:pPr>
      <w:r>
        <w:rPr>
          <w:rFonts w:hint="eastAsia" w:ascii="仿宋_GB2312" w:hAnsi="宋体" w:eastAsia="仿宋_GB2312"/>
          <w:sz w:val="24"/>
          <w:szCs w:val="24"/>
          <w:lang w:eastAsia="zh-CN"/>
        </w:rPr>
        <w:t>（</w:t>
      </w:r>
      <w:r>
        <w:rPr>
          <w:rFonts w:hint="default" w:ascii="仿宋_GB2312" w:hAnsi="宋体" w:eastAsia="仿宋_GB2312"/>
          <w:sz w:val="24"/>
          <w:szCs w:val="24"/>
          <w:lang w:val="en-US" w:eastAsia="zh-CN"/>
        </w:rPr>
        <w:t>2</w:t>
      </w:r>
      <w:r>
        <w:rPr>
          <w:rFonts w:hint="eastAsia" w:ascii="仿宋_GB2312" w:hAnsi="宋体" w:eastAsia="仿宋_GB2312"/>
          <w:sz w:val="24"/>
          <w:szCs w:val="24"/>
          <w:lang w:eastAsia="zh-CN"/>
        </w:rPr>
        <w:t>）</w:t>
      </w:r>
      <w:r>
        <w:rPr>
          <w:rFonts w:hint="eastAsia" w:ascii="仿宋_GB2312" w:hAnsi="宋体" w:eastAsia="仿宋_GB2312"/>
          <w:sz w:val="24"/>
          <w:szCs w:val="24"/>
        </w:rPr>
        <w:t>乙方所有的电煤拉运车辆信息需在云驿调运系统上进行登记录入，因电煤拉运车辆信息录入错误造成的一切后果由承运单位负责承担。</w:t>
      </w:r>
    </w:p>
    <w:p w14:paraId="51041639">
      <w:pPr>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3</w:t>
      </w: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乙方负责</w:t>
      </w:r>
      <w:r>
        <w:rPr>
          <w:rFonts w:hint="default" w:ascii="仿宋_GB2312" w:hAnsi="宋体" w:eastAsia="仿宋_GB2312"/>
          <w:sz w:val="24"/>
          <w:szCs w:val="24"/>
          <w:lang w:val="en-US" w:eastAsia="zh-CN"/>
        </w:rPr>
        <w:t>装卸过程中造成的</w:t>
      </w:r>
      <w:r>
        <w:rPr>
          <w:rFonts w:hint="eastAsia" w:ascii="仿宋_GB2312" w:hAnsi="宋体" w:eastAsia="仿宋_GB2312"/>
          <w:sz w:val="24"/>
          <w:szCs w:val="24"/>
          <w:lang w:val="en-US" w:eastAsia="zh-CN"/>
        </w:rPr>
        <w:t>车辆</w:t>
      </w:r>
      <w:r>
        <w:rPr>
          <w:rFonts w:hint="default" w:ascii="仿宋_GB2312" w:hAnsi="宋体" w:eastAsia="仿宋_GB2312"/>
          <w:sz w:val="24"/>
          <w:szCs w:val="24"/>
          <w:lang w:val="en-US" w:eastAsia="zh-CN"/>
        </w:rPr>
        <w:t>损坏、设备设施损坏、人员伤害等一切损失。</w:t>
      </w:r>
    </w:p>
    <w:p w14:paraId="33E89F7D">
      <w:pPr>
        <w:ind w:firstLine="480" w:firstLineChars="200"/>
        <w:rPr>
          <w:rFonts w:hint="default" w:ascii="仿宋_GB2312" w:hAnsi="宋体" w:eastAsia="仿宋_GB2312"/>
          <w:sz w:val="24"/>
          <w:szCs w:val="24"/>
          <w:lang w:val="en-US"/>
        </w:rPr>
      </w:pPr>
      <w:r>
        <w:rPr>
          <w:rFonts w:hint="eastAsia" w:ascii="仿宋_GB2312" w:hAnsi="宋体" w:eastAsia="仿宋_GB2312"/>
          <w:sz w:val="24"/>
          <w:szCs w:val="24"/>
          <w:lang w:val="en-US" w:eastAsia="zh-CN"/>
        </w:rPr>
        <w:t>8.</w:t>
      </w:r>
      <w:r>
        <w:rPr>
          <w:rFonts w:hint="default" w:ascii="仿宋_GB2312" w:hAnsi="宋体" w:eastAsia="仿宋_GB2312"/>
          <w:sz w:val="24"/>
          <w:szCs w:val="24"/>
          <w:lang w:val="en-US"/>
        </w:rPr>
        <w:t>清洁能源运输量占比：清洁能源运输量占比</w:t>
      </w:r>
      <w:r>
        <w:rPr>
          <w:rFonts w:hint="default" w:ascii="仿宋_GB2312" w:hAnsi="宋体" w:eastAsia="仿宋_GB2312"/>
          <w:sz w:val="24"/>
          <w:szCs w:val="24"/>
          <w:lang w:val="en-US" w:eastAsia="zh-CN"/>
        </w:rPr>
        <w:t>为10</w:t>
      </w:r>
      <w:r>
        <w:rPr>
          <w:rFonts w:hint="default" w:ascii="仿宋_GB2312" w:hAnsi="宋体" w:eastAsia="仿宋_GB2312"/>
          <w:sz w:val="24"/>
          <w:szCs w:val="24"/>
          <w:lang w:val="en-US"/>
        </w:rPr>
        <w:t>0%，若</w:t>
      </w:r>
      <w:r>
        <w:rPr>
          <w:rFonts w:hint="eastAsia" w:ascii="仿宋_GB2312" w:hAnsi="宋体" w:eastAsia="仿宋_GB2312"/>
          <w:sz w:val="24"/>
          <w:szCs w:val="24"/>
          <w:lang w:val="en-US" w:eastAsia="zh-CN"/>
        </w:rPr>
        <w:t>乙方</w:t>
      </w:r>
      <w:r>
        <w:rPr>
          <w:rFonts w:hint="default" w:ascii="仿宋_GB2312" w:hAnsi="宋体" w:eastAsia="仿宋_GB2312"/>
          <w:sz w:val="24"/>
          <w:szCs w:val="24"/>
          <w:lang w:val="en-US"/>
        </w:rPr>
        <w:t>清洁能源运输占比未达到此标准，当月运费</w:t>
      </w:r>
      <w:r>
        <w:rPr>
          <w:rFonts w:hint="default" w:ascii="仿宋_GB2312" w:hAnsi="宋体" w:eastAsia="仿宋_GB2312"/>
          <w:sz w:val="24"/>
          <w:szCs w:val="24"/>
          <w:lang w:val="en-US" w:eastAsia="zh-CN"/>
        </w:rPr>
        <w:t>按下表进行下浮（表一）</w:t>
      </w:r>
      <w:r>
        <w:rPr>
          <w:rFonts w:hint="default" w:ascii="仿宋_GB2312" w:hAnsi="宋体" w:eastAsia="仿宋_GB2312"/>
          <w:sz w:val="24"/>
          <w:szCs w:val="24"/>
          <w:lang w:val="en-US"/>
        </w:rPr>
        <w:t>，同时电厂有权终止合同。在</w:t>
      </w:r>
      <w:r>
        <w:rPr>
          <w:rFonts w:hint="default" w:ascii="仿宋_GB2312" w:hAnsi="宋体" w:eastAsia="仿宋_GB2312"/>
          <w:sz w:val="24"/>
          <w:szCs w:val="24"/>
          <w:lang w:val="en-US" w:eastAsia="zh-CN"/>
        </w:rPr>
        <w:t>“迎峰度夏”、“迎峰度冬”、“保电”等特殊时间段内，为确保机组耗煤需求，</w:t>
      </w:r>
      <w:r>
        <w:rPr>
          <w:rFonts w:hint="default" w:ascii="仿宋_GB2312" w:hAnsi="宋体" w:eastAsia="仿宋_GB2312"/>
          <w:sz w:val="24"/>
          <w:szCs w:val="24"/>
          <w:lang w:val="en-US"/>
        </w:rPr>
        <w:t>新能源运输占比以甲方要求为准。（清洁能源车辆为纯电或者氢能汽车）</w:t>
      </w:r>
    </w:p>
    <w:p w14:paraId="28A91020">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表一</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9"/>
        <w:gridCol w:w="2224"/>
        <w:gridCol w:w="2800"/>
        <w:gridCol w:w="1127"/>
      </w:tblGrid>
      <w:tr w14:paraId="2FD43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06DCB838">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清洁能源占比（a）</w:t>
            </w:r>
          </w:p>
        </w:tc>
        <w:tc>
          <w:tcPr>
            <w:tcW w:w="2224" w:type="dxa"/>
            <w:vAlign w:val="center"/>
          </w:tcPr>
          <w:p w14:paraId="40FC19F8">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价格（元/吨）</w:t>
            </w:r>
          </w:p>
        </w:tc>
        <w:tc>
          <w:tcPr>
            <w:tcW w:w="2800" w:type="dxa"/>
            <w:vAlign w:val="center"/>
          </w:tcPr>
          <w:p w14:paraId="2867A4C3">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统计周期</w:t>
            </w:r>
          </w:p>
        </w:tc>
        <w:tc>
          <w:tcPr>
            <w:tcW w:w="1127" w:type="dxa"/>
            <w:vAlign w:val="center"/>
          </w:tcPr>
          <w:p w14:paraId="0A48B85E">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备注</w:t>
            </w:r>
          </w:p>
        </w:tc>
      </w:tr>
      <w:tr w14:paraId="4FA1C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06A2CF57">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a≥100%</w:t>
            </w:r>
          </w:p>
        </w:tc>
        <w:tc>
          <w:tcPr>
            <w:tcW w:w="2224" w:type="dxa"/>
            <w:vAlign w:val="center"/>
          </w:tcPr>
          <w:p w14:paraId="3E43B0F6">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合同价</w:t>
            </w:r>
          </w:p>
        </w:tc>
        <w:tc>
          <w:tcPr>
            <w:tcW w:w="2800" w:type="dxa"/>
            <w:vAlign w:val="center"/>
          </w:tcPr>
          <w:p w14:paraId="636C7F2D">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按照自然月份统计</w:t>
            </w:r>
          </w:p>
        </w:tc>
        <w:tc>
          <w:tcPr>
            <w:tcW w:w="1127" w:type="dxa"/>
            <w:vAlign w:val="center"/>
          </w:tcPr>
          <w:p w14:paraId="6A2A7741">
            <w:pPr>
              <w:ind w:firstLine="480" w:firstLineChars="200"/>
              <w:jc w:val="center"/>
              <w:rPr>
                <w:rFonts w:hint="default" w:ascii="仿宋_GB2312" w:hAnsi="宋体" w:eastAsia="仿宋_GB2312"/>
                <w:sz w:val="24"/>
                <w:szCs w:val="24"/>
                <w:lang w:val="en-US" w:eastAsia="zh-CN"/>
              </w:rPr>
            </w:pPr>
          </w:p>
        </w:tc>
      </w:tr>
      <w:tr w14:paraId="7BB09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34910434">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90%≤a＜100%</w:t>
            </w:r>
          </w:p>
        </w:tc>
        <w:tc>
          <w:tcPr>
            <w:tcW w:w="2224" w:type="dxa"/>
            <w:vAlign w:val="center"/>
          </w:tcPr>
          <w:p w14:paraId="18636FA7">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合同价-</w:t>
            </w:r>
            <w:r>
              <w:rPr>
                <w:rFonts w:hint="eastAsia" w:ascii="仿宋_GB2312" w:hAnsi="宋体" w:eastAsia="仿宋_GB2312"/>
                <w:sz w:val="24"/>
                <w:szCs w:val="24"/>
                <w:lang w:val="en-US" w:eastAsia="zh-CN"/>
              </w:rPr>
              <w:t>1</w:t>
            </w:r>
          </w:p>
        </w:tc>
        <w:tc>
          <w:tcPr>
            <w:tcW w:w="2800" w:type="dxa"/>
            <w:vAlign w:val="center"/>
          </w:tcPr>
          <w:p w14:paraId="64A0D44C">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按照自然月份统计</w:t>
            </w:r>
          </w:p>
        </w:tc>
        <w:tc>
          <w:tcPr>
            <w:tcW w:w="1127" w:type="dxa"/>
            <w:vAlign w:val="center"/>
          </w:tcPr>
          <w:p w14:paraId="21A208A5">
            <w:pPr>
              <w:ind w:firstLine="480" w:firstLineChars="200"/>
              <w:jc w:val="center"/>
              <w:rPr>
                <w:rFonts w:hint="default" w:ascii="仿宋_GB2312" w:hAnsi="宋体" w:eastAsia="仿宋_GB2312"/>
                <w:sz w:val="24"/>
                <w:szCs w:val="24"/>
                <w:lang w:val="en-US" w:eastAsia="zh-CN"/>
              </w:rPr>
            </w:pPr>
          </w:p>
        </w:tc>
      </w:tr>
      <w:tr w14:paraId="25303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0EAF46B0">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80%≤a＜90%</w:t>
            </w:r>
          </w:p>
        </w:tc>
        <w:tc>
          <w:tcPr>
            <w:tcW w:w="2224" w:type="dxa"/>
            <w:vAlign w:val="center"/>
          </w:tcPr>
          <w:p w14:paraId="16B402E0">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合同价-</w:t>
            </w:r>
            <w:r>
              <w:rPr>
                <w:rFonts w:hint="eastAsia" w:ascii="仿宋_GB2312" w:hAnsi="宋体" w:eastAsia="仿宋_GB2312"/>
                <w:sz w:val="24"/>
                <w:szCs w:val="24"/>
                <w:lang w:val="en-US" w:eastAsia="zh-CN"/>
              </w:rPr>
              <w:t>2</w:t>
            </w:r>
          </w:p>
        </w:tc>
        <w:tc>
          <w:tcPr>
            <w:tcW w:w="2800" w:type="dxa"/>
            <w:vAlign w:val="center"/>
          </w:tcPr>
          <w:p w14:paraId="3B0C5564">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按照自然月份统计</w:t>
            </w:r>
          </w:p>
        </w:tc>
        <w:tc>
          <w:tcPr>
            <w:tcW w:w="1127" w:type="dxa"/>
            <w:vAlign w:val="center"/>
          </w:tcPr>
          <w:p w14:paraId="6135BF46">
            <w:pPr>
              <w:ind w:firstLine="480" w:firstLineChars="200"/>
              <w:jc w:val="center"/>
              <w:rPr>
                <w:rFonts w:hint="default" w:ascii="仿宋_GB2312" w:hAnsi="宋体" w:eastAsia="仿宋_GB2312"/>
                <w:sz w:val="24"/>
                <w:szCs w:val="24"/>
                <w:lang w:val="en-US" w:eastAsia="zh-CN"/>
              </w:rPr>
            </w:pPr>
          </w:p>
        </w:tc>
      </w:tr>
      <w:tr w14:paraId="711CB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74C23880">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60%≤a＜80%</w:t>
            </w:r>
          </w:p>
        </w:tc>
        <w:tc>
          <w:tcPr>
            <w:tcW w:w="2224" w:type="dxa"/>
            <w:vAlign w:val="center"/>
          </w:tcPr>
          <w:p w14:paraId="462CF343">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合同价-</w:t>
            </w:r>
            <w:r>
              <w:rPr>
                <w:rFonts w:hint="eastAsia" w:ascii="仿宋_GB2312" w:hAnsi="宋体" w:eastAsia="仿宋_GB2312"/>
                <w:sz w:val="24"/>
                <w:szCs w:val="24"/>
                <w:lang w:val="en-US" w:eastAsia="zh-CN"/>
              </w:rPr>
              <w:t>5</w:t>
            </w:r>
            <w:bookmarkStart w:id="80" w:name="_GoBack"/>
            <w:bookmarkEnd w:id="80"/>
          </w:p>
        </w:tc>
        <w:tc>
          <w:tcPr>
            <w:tcW w:w="2800" w:type="dxa"/>
            <w:vAlign w:val="center"/>
          </w:tcPr>
          <w:p w14:paraId="4EAC410D">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按照自然月份统计</w:t>
            </w:r>
          </w:p>
        </w:tc>
        <w:tc>
          <w:tcPr>
            <w:tcW w:w="1127" w:type="dxa"/>
            <w:vAlign w:val="center"/>
          </w:tcPr>
          <w:p w14:paraId="3C791293">
            <w:pPr>
              <w:ind w:firstLine="480" w:firstLineChars="200"/>
              <w:jc w:val="center"/>
              <w:rPr>
                <w:rFonts w:hint="default" w:ascii="仿宋_GB2312" w:hAnsi="宋体" w:eastAsia="仿宋_GB2312"/>
                <w:sz w:val="24"/>
                <w:szCs w:val="24"/>
                <w:lang w:val="en-US" w:eastAsia="zh-CN"/>
              </w:rPr>
            </w:pPr>
          </w:p>
        </w:tc>
      </w:tr>
      <w:tr w14:paraId="6030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69" w:type="dxa"/>
            <w:vAlign w:val="center"/>
          </w:tcPr>
          <w:p w14:paraId="7100E274">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a＜60%</w:t>
            </w:r>
          </w:p>
        </w:tc>
        <w:tc>
          <w:tcPr>
            <w:tcW w:w="5024" w:type="dxa"/>
            <w:gridSpan w:val="2"/>
            <w:vAlign w:val="center"/>
          </w:tcPr>
          <w:p w14:paraId="46500F4F">
            <w:pPr>
              <w:jc w:val="center"/>
              <w:rPr>
                <w:rFonts w:hint="default" w:ascii="仿宋_GB2312" w:hAnsi="宋体" w:eastAsia="仿宋_GB2312"/>
                <w:sz w:val="24"/>
                <w:szCs w:val="24"/>
                <w:lang w:val="en-US" w:eastAsia="zh-CN"/>
              </w:rPr>
            </w:pPr>
            <w:r>
              <w:rPr>
                <w:rFonts w:hint="default" w:ascii="仿宋_GB2312" w:hAnsi="宋体" w:eastAsia="仿宋_GB2312"/>
                <w:sz w:val="24"/>
                <w:szCs w:val="24"/>
                <w:lang w:val="en-US" w:eastAsia="zh-CN"/>
              </w:rPr>
              <w:t>终止合同</w:t>
            </w:r>
          </w:p>
        </w:tc>
        <w:tc>
          <w:tcPr>
            <w:tcW w:w="1127" w:type="dxa"/>
            <w:vAlign w:val="center"/>
          </w:tcPr>
          <w:p w14:paraId="71143EA6">
            <w:pPr>
              <w:ind w:firstLine="480" w:firstLineChars="200"/>
              <w:jc w:val="center"/>
              <w:rPr>
                <w:rFonts w:hint="default" w:ascii="仿宋_GB2312" w:hAnsi="宋体" w:eastAsia="仿宋_GB2312"/>
                <w:sz w:val="24"/>
                <w:szCs w:val="24"/>
                <w:lang w:val="en-US" w:eastAsia="zh-CN"/>
              </w:rPr>
            </w:pPr>
          </w:p>
        </w:tc>
      </w:tr>
    </w:tbl>
    <w:p w14:paraId="742C95F5">
      <w:pPr>
        <w:pStyle w:val="9"/>
        <w:widowControl/>
        <w:spacing w:beforeAutospacing="0" w:afterAutospacing="0"/>
        <w:ind w:firstLine="480" w:firstLineChars="200"/>
        <w:rPr>
          <w:rFonts w:hint="eastAsia" w:ascii="仿宋_GB2312" w:hAnsi="宋体" w:eastAsia="仿宋_GB2312" w:cstheme="minorBidi"/>
          <w:b w:val="0"/>
          <w:bCs/>
          <w:kern w:val="2"/>
          <w:sz w:val="24"/>
          <w:szCs w:val="24"/>
          <w:lang w:eastAsia="zh-CN"/>
        </w:rPr>
      </w:pPr>
      <w:r>
        <w:rPr>
          <w:rFonts w:hint="eastAsia" w:ascii="仿宋_GB2312" w:hAnsi="宋体" w:eastAsia="仿宋_GB2312" w:cstheme="minorBidi"/>
          <w:b w:val="0"/>
          <w:bCs/>
          <w:kern w:val="2"/>
          <w:sz w:val="24"/>
          <w:szCs w:val="24"/>
          <w:lang w:val="en-US" w:eastAsia="zh-CN"/>
        </w:rPr>
        <w:t>9.甲方根据生产需要临时增大调运计划时，乙方必须无条件配合，并确保在接到书面或电子信息通知后12小时内，组织足额车辆上线运输，以满足增量需求。如因乙方原因无法按时响应，甲方有权终止合作</w:t>
      </w:r>
      <w:r>
        <w:rPr>
          <w:rFonts w:hint="eastAsia" w:ascii="仿宋_GB2312" w:hAnsi="宋体" w:eastAsia="仿宋_GB2312" w:cstheme="minorBidi"/>
          <w:b w:val="0"/>
          <w:bCs/>
          <w:kern w:val="2"/>
          <w:sz w:val="24"/>
          <w:szCs w:val="24"/>
        </w:rPr>
        <w:t>扣除履约保证金</w:t>
      </w:r>
      <w:r>
        <w:rPr>
          <w:rFonts w:hint="eastAsia" w:ascii="仿宋_GB2312" w:hAnsi="宋体" w:eastAsia="仿宋_GB2312" w:cstheme="minorBidi"/>
          <w:b w:val="0"/>
          <w:bCs/>
          <w:kern w:val="2"/>
          <w:sz w:val="24"/>
          <w:szCs w:val="24"/>
          <w:lang w:val="en-US" w:eastAsia="zh-CN"/>
        </w:rPr>
        <w:t>5</w:t>
      </w:r>
      <w:r>
        <w:rPr>
          <w:rFonts w:hint="eastAsia" w:ascii="仿宋_GB2312" w:hAnsi="宋体" w:eastAsia="仿宋_GB2312" w:cstheme="minorBidi"/>
          <w:b w:val="0"/>
          <w:bCs/>
          <w:kern w:val="2"/>
          <w:sz w:val="24"/>
          <w:szCs w:val="24"/>
        </w:rPr>
        <w:t>万元</w:t>
      </w:r>
      <w:r>
        <w:rPr>
          <w:rFonts w:hint="eastAsia" w:ascii="仿宋_GB2312" w:hAnsi="宋体" w:eastAsia="仿宋_GB2312" w:cstheme="minorBidi"/>
          <w:b w:val="0"/>
          <w:bCs/>
          <w:kern w:val="2"/>
          <w:sz w:val="24"/>
          <w:szCs w:val="24"/>
          <w:lang w:eastAsia="zh-CN"/>
        </w:rPr>
        <w:t>，</w:t>
      </w:r>
      <w:r>
        <w:rPr>
          <w:rFonts w:hint="eastAsia" w:ascii="仿宋_GB2312" w:hAnsi="宋体" w:eastAsia="仿宋_GB2312" w:cstheme="minorBidi"/>
          <w:b w:val="0"/>
          <w:bCs/>
          <w:kern w:val="2"/>
          <w:sz w:val="24"/>
          <w:szCs w:val="24"/>
        </w:rPr>
        <w:t>并在大唐陕西公司系统内冻结</w:t>
      </w:r>
      <w:r>
        <w:rPr>
          <w:rFonts w:hint="eastAsia" w:ascii="仿宋_GB2312" w:hAnsi="宋体" w:eastAsia="仿宋_GB2312" w:cstheme="minorBidi"/>
          <w:b w:val="0"/>
          <w:bCs/>
          <w:kern w:val="2"/>
          <w:sz w:val="24"/>
          <w:szCs w:val="24"/>
          <w:lang w:val="en-US" w:eastAsia="zh-CN"/>
        </w:rPr>
        <w:t>3个月</w:t>
      </w:r>
      <w:r>
        <w:rPr>
          <w:rFonts w:hint="eastAsia" w:ascii="仿宋_GB2312" w:hAnsi="宋体" w:eastAsia="仿宋_GB2312" w:cstheme="minorBidi"/>
          <w:b w:val="0"/>
          <w:bCs/>
          <w:kern w:val="2"/>
          <w:sz w:val="24"/>
          <w:szCs w:val="24"/>
        </w:rPr>
        <w:t>竞价资格</w:t>
      </w:r>
      <w:r>
        <w:rPr>
          <w:rFonts w:hint="eastAsia" w:ascii="仿宋_GB2312" w:hAnsi="宋体" w:eastAsia="仿宋_GB2312" w:cstheme="minorBidi"/>
          <w:b w:val="0"/>
          <w:bCs/>
          <w:kern w:val="2"/>
          <w:sz w:val="24"/>
          <w:szCs w:val="24"/>
          <w:lang w:eastAsia="zh-CN"/>
        </w:rPr>
        <w:t>。</w:t>
      </w:r>
    </w:p>
    <w:p w14:paraId="33A0C556">
      <w:pPr>
        <w:pStyle w:val="9"/>
        <w:widowControl/>
        <w:spacing w:beforeAutospacing="0" w:afterAutospacing="0"/>
        <w:ind w:firstLine="480" w:firstLineChars="200"/>
        <w:rPr>
          <w:rFonts w:hint="eastAsia" w:ascii="仿宋_GB2312" w:hAnsi="宋体" w:eastAsia="仿宋_GB2312" w:cstheme="minorBidi"/>
          <w:b w:val="0"/>
          <w:bCs/>
          <w:kern w:val="2"/>
          <w:sz w:val="24"/>
          <w:szCs w:val="24"/>
          <w:lang w:val="en-US" w:eastAsia="zh-CN"/>
        </w:rPr>
      </w:pPr>
      <w:r>
        <w:rPr>
          <w:rFonts w:hint="eastAsia" w:ascii="仿宋_GB2312" w:hAnsi="宋体" w:eastAsia="仿宋_GB2312" w:cstheme="minorBidi"/>
          <w:b w:val="0"/>
          <w:bCs/>
          <w:kern w:val="2"/>
          <w:sz w:val="24"/>
          <w:szCs w:val="24"/>
          <w:lang w:val="en-US" w:eastAsia="zh-CN"/>
        </w:rPr>
        <w:t>10.甲方在成交通知书送达乙方次日起，即向乙方下发煤炭调运计划，如乙方因自身原因无法满足煤炭调运计划中的拉运量及拉运时间要求，甲方有权扣除履约保证金3万元，取消乙方拉运资格，并在大唐陕西公司系统内冻结3个月竞价资格，甲方根据竞价结果，由低到高依次与报价在限价范围内的承运单位按照最低竞价进行谈判，价格以最低价报价为准。</w:t>
      </w:r>
    </w:p>
    <w:p w14:paraId="06B223DF">
      <w:pPr>
        <w:pStyle w:val="9"/>
        <w:widowControl/>
        <w:spacing w:beforeAutospacing="0" w:afterAutospacing="0"/>
        <w:ind w:firstLine="482" w:firstLineChars="200"/>
        <w:rPr>
          <w:rFonts w:ascii="仿宋_GB2312" w:hAnsi="宋体" w:eastAsia="仿宋_GB2312" w:cstheme="minorBidi"/>
          <w:b/>
          <w:kern w:val="2"/>
          <w:sz w:val="24"/>
          <w:szCs w:val="24"/>
        </w:rPr>
      </w:pPr>
      <w:r>
        <w:rPr>
          <w:rFonts w:hint="eastAsia" w:ascii="仿宋_GB2312" w:hAnsi="宋体" w:eastAsia="仿宋_GB2312" w:cstheme="minorBidi"/>
          <w:b/>
          <w:kern w:val="2"/>
          <w:sz w:val="24"/>
          <w:szCs w:val="24"/>
        </w:rPr>
        <w:t>八、拉运兑现率要求</w:t>
      </w:r>
    </w:p>
    <w:p w14:paraId="79FEDB0A">
      <w:pPr>
        <w:ind w:firstLine="480" w:firstLineChars="200"/>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1.自竞价成交通知书送达乙方次日起，由甲方向乙方下达调运计划，乙方应按甲方调运计划组织运输，开始起算合同期内的拉运兑现率。乙方在前3日内无法启动隆德煤矿煤炭拉运，扣除其3万保证金，取消乙方拉运资格，并在大唐陕西公司系统内冻结6个月竞价资格。</w:t>
      </w:r>
    </w:p>
    <w:p w14:paraId="17303BBD">
      <w:pPr>
        <w:ind w:firstLine="480" w:firstLineChars="200"/>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2.自竞价成交通知书送达乙方次日起，前5天兑现量低于前5日累计调运计划量的80%，甲方有权取消其拉运资格，终止合同，扣除履约保证金3万元，并在大唐陕西公司系统冻结3个月竞价资格。</w:t>
      </w:r>
    </w:p>
    <w:p w14:paraId="36A68E98">
      <w:pPr>
        <w:ind w:firstLine="480" w:firstLineChars="200"/>
        <w:rPr>
          <w:rFonts w:hint="eastAsia" w:ascii="仿宋_GB2312" w:hAnsi="宋体" w:eastAsia="仿宋_GB2312"/>
          <w:b w:val="0"/>
          <w:bCs w:val="0"/>
          <w:sz w:val="24"/>
          <w:szCs w:val="24"/>
          <w:lang w:val="en-US" w:eastAsia="zh-CN"/>
        </w:rPr>
      </w:pPr>
      <w:r>
        <w:rPr>
          <w:rFonts w:hint="eastAsia" w:ascii="仿宋_GB2312" w:hAnsi="宋体" w:eastAsia="仿宋_GB2312"/>
          <w:b w:val="0"/>
          <w:bCs w:val="0"/>
          <w:sz w:val="24"/>
          <w:szCs w:val="24"/>
          <w:lang w:val="en-US" w:eastAsia="zh-CN"/>
        </w:rPr>
        <w:t>3.在运输期间，月度内乙方累计3天运输量未达到甲方下达的日调运计划量80%，累计处罚乙方3000元，后期每增加1天（未达到甲方下达的日调运计划量80%），处罚乙方1000元/天。日调运计划以甲方通知为准，超出日调运计划处罚乙方1000元/天。累计超过7天运输量未达到甲方下达的日调运计划量80%，取消拉运资格，终止合同，扣除履约保证金5万元，并在大唐陕西公司系统冻结3个月竞价资格。因电厂原因或矿方停工停产、检修原因（需出具矿方相关证明材料）以及不可抗力导致无法启动拉运的，经甲方审核确认后，可免除相关责任。</w:t>
      </w:r>
    </w:p>
    <w:p w14:paraId="43887DAD">
      <w:pPr>
        <w:ind w:firstLine="482" w:firstLineChars="200"/>
        <w:rPr>
          <w:rFonts w:hint="eastAsia" w:ascii="仿宋_GB2312" w:hAnsi="宋体" w:eastAsia="仿宋_GB2312"/>
          <w:sz w:val="24"/>
          <w:szCs w:val="24"/>
        </w:rPr>
      </w:pPr>
      <w:r>
        <w:rPr>
          <w:rFonts w:hint="eastAsia" w:ascii="仿宋_GB2312" w:hAnsi="宋体" w:eastAsia="仿宋_GB2312"/>
          <w:b/>
          <w:bCs/>
          <w:sz w:val="24"/>
          <w:szCs w:val="24"/>
          <w:lang w:val="en-US" w:eastAsia="zh-CN"/>
        </w:rPr>
        <w:t>九</w:t>
      </w:r>
      <w:r>
        <w:rPr>
          <w:rFonts w:hint="eastAsia" w:ascii="仿宋_GB2312" w:hAnsi="宋体" w:eastAsia="仿宋_GB2312"/>
          <w:sz w:val="24"/>
          <w:szCs w:val="24"/>
        </w:rPr>
        <w:t>、乙方出现下列情形之一，视为给</w:t>
      </w:r>
      <w:r>
        <w:rPr>
          <w:rFonts w:hint="eastAsia" w:ascii="仿宋_GB2312" w:hAnsi="宋体" w:eastAsia="仿宋_GB2312"/>
          <w:sz w:val="24"/>
          <w:szCs w:val="24"/>
          <w:lang w:eastAsia="zh-CN"/>
        </w:rPr>
        <w:t>甲方</w:t>
      </w:r>
      <w:r>
        <w:rPr>
          <w:rFonts w:hint="eastAsia" w:ascii="仿宋_GB2312" w:hAnsi="宋体" w:eastAsia="仿宋_GB2312"/>
          <w:sz w:val="24"/>
          <w:szCs w:val="24"/>
        </w:rPr>
        <w:t>造成直接和间接损失或其他不良影响，</w:t>
      </w:r>
      <w:r>
        <w:rPr>
          <w:rFonts w:hint="eastAsia" w:ascii="仿宋_GB2312" w:hAnsi="宋体" w:eastAsia="仿宋_GB2312"/>
          <w:sz w:val="24"/>
          <w:szCs w:val="24"/>
          <w:lang w:eastAsia="zh-CN"/>
        </w:rPr>
        <w:t>甲方</w:t>
      </w:r>
      <w:r>
        <w:rPr>
          <w:rFonts w:hint="eastAsia" w:ascii="仿宋_GB2312" w:hAnsi="宋体" w:eastAsia="仿宋_GB2312"/>
          <w:sz w:val="24"/>
          <w:szCs w:val="24"/>
        </w:rPr>
        <w:t>有权扣除履约保证金</w:t>
      </w:r>
      <w:r>
        <w:rPr>
          <w:rFonts w:hint="eastAsia" w:ascii="仿宋_GB2312" w:hAnsi="宋体" w:eastAsia="仿宋_GB2312"/>
          <w:sz w:val="24"/>
          <w:szCs w:val="24"/>
          <w:lang w:val="en-US" w:eastAsia="zh-CN"/>
        </w:rPr>
        <w:t>5</w:t>
      </w:r>
      <w:r>
        <w:rPr>
          <w:rFonts w:hint="eastAsia" w:ascii="仿宋_GB2312" w:hAnsi="宋体" w:eastAsia="仿宋_GB2312"/>
          <w:sz w:val="24"/>
          <w:szCs w:val="24"/>
        </w:rPr>
        <w:t>万元，弥补损失。</w:t>
      </w:r>
    </w:p>
    <w:p w14:paraId="6B594F15">
      <w:pPr>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1.</w:t>
      </w:r>
      <w:r>
        <w:rPr>
          <w:rFonts w:hint="eastAsia" w:ascii="仿宋_GB2312" w:hAnsi="宋体" w:eastAsia="仿宋_GB2312"/>
          <w:sz w:val="24"/>
          <w:szCs w:val="24"/>
        </w:rPr>
        <w:t>在电煤运输过程中因车辆未加盖篷布发生煤炭抛洒、扬尘，造成甲方受到环保部门处罚的（罚款由乙方全部承担）；不能及时妥善处理路政、环保各方关系，给甲方造成严重负面影响的，并取消其运输资格。</w:t>
      </w:r>
    </w:p>
    <w:p w14:paraId="5F8470C0">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2.</w:t>
      </w:r>
      <w:r>
        <w:rPr>
          <w:rFonts w:hint="eastAsia" w:ascii="仿宋_GB2312" w:hAnsi="宋体" w:eastAsia="仿宋_GB2312"/>
          <w:sz w:val="24"/>
          <w:szCs w:val="24"/>
        </w:rPr>
        <w:t>运输管理不到位，发生丢煤换煤、掺杂使假，相互之间哄抬运价，扰乱市场行为且处理不力的</w:t>
      </w:r>
      <w:r>
        <w:rPr>
          <w:rFonts w:hint="eastAsia" w:ascii="仿宋_GB2312" w:hAnsi="宋体" w:eastAsia="仿宋_GB2312"/>
          <w:sz w:val="24"/>
          <w:szCs w:val="24"/>
          <w:lang w:eastAsia="zh-CN"/>
        </w:rPr>
        <w:t>，</w:t>
      </w:r>
      <w:r>
        <w:rPr>
          <w:rFonts w:hint="eastAsia" w:ascii="仿宋_GB2312" w:hAnsi="宋体" w:eastAsia="仿宋_GB2312"/>
          <w:sz w:val="24"/>
          <w:szCs w:val="24"/>
          <w:lang w:val="en-US" w:eastAsia="zh-CN"/>
        </w:rPr>
        <w:t>上报大唐陕西公司，在大唐集团内进行拉黑处理。</w:t>
      </w:r>
    </w:p>
    <w:p w14:paraId="4D5165DA">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3.</w:t>
      </w:r>
      <w:r>
        <w:rPr>
          <w:rFonts w:hint="eastAsia" w:ascii="仿宋_GB2312" w:hAnsi="宋体" w:eastAsia="仿宋_GB2312"/>
          <w:sz w:val="24"/>
          <w:szCs w:val="24"/>
        </w:rPr>
        <w:t>私自以甲方名义外运电煤的，并取消其运输资格。</w:t>
      </w:r>
    </w:p>
    <w:p w14:paraId="5D1890FD">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4.</w:t>
      </w:r>
      <w:r>
        <w:rPr>
          <w:rFonts w:hint="eastAsia" w:ascii="仿宋_GB2312" w:hAnsi="宋体" w:eastAsia="仿宋_GB2312"/>
          <w:sz w:val="24"/>
          <w:szCs w:val="24"/>
        </w:rPr>
        <w:t>累计发生三次及以上煤质异常或发生不安全事故，给甲方造成直接经济损失2万元及以上的，并取消其运输资格。</w:t>
      </w:r>
    </w:p>
    <w:p w14:paraId="5F70CCA0">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5.</w:t>
      </w:r>
      <w:r>
        <w:rPr>
          <w:rFonts w:hint="eastAsia" w:ascii="仿宋_GB2312" w:hAnsi="宋体" w:eastAsia="仿宋_GB2312"/>
          <w:sz w:val="24"/>
          <w:szCs w:val="24"/>
        </w:rPr>
        <w:t>不遵守电厂、煤矿有关规定，致使发生运输管理纠纷，造成拉运矿点停止3天以上的，并取消其运输资格。</w:t>
      </w:r>
    </w:p>
    <w:p w14:paraId="08BA9F18">
      <w:pPr>
        <w:ind w:firstLine="480" w:firstLineChars="200"/>
        <w:rPr>
          <w:rFonts w:hint="eastAsia" w:ascii="仿宋_GB2312" w:hAnsi="宋体" w:eastAsia="仿宋_GB2312"/>
          <w:sz w:val="24"/>
          <w:szCs w:val="24"/>
        </w:rPr>
      </w:pPr>
      <w:r>
        <w:rPr>
          <w:rFonts w:hint="eastAsia" w:ascii="仿宋_GB2312" w:hAnsi="宋体" w:eastAsia="仿宋_GB2312"/>
          <w:sz w:val="24"/>
          <w:szCs w:val="24"/>
          <w:lang w:val="en-US" w:eastAsia="zh-CN"/>
        </w:rPr>
        <w:t>6.</w:t>
      </w:r>
      <w:r>
        <w:rPr>
          <w:rFonts w:hint="eastAsia" w:ascii="仿宋_GB2312" w:hAnsi="宋体" w:eastAsia="仿宋_GB2312"/>
          <w:sz w:val="24"/>
          <w:szCs w:val="24"/>
        </w:rPr>
        <w:t>违反相关法律法规，贿赂、威胁、恐吓相关工作人员的，并取消其运输资格。</w:t>
      </w:r>
    </w:p>
    <w:p w14:paraId="0A306E32">
      <w:pPr>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lang w:val="en-US" w:eastAsia="zh-CN"/>
        </w:rPr>
        <w:t>7.在合同执行期间，月度出现厂结热值差大幅超出约定基础，并无改善情况，并在大唐陕西公司系统内冻结12个月竞价资格。</w:t>
      </w:r>
    </w:p>
    <w:p w14:paraId="7978E302">
      <w:pPr>
        <w:ind w:firstLine="482" w:firstLineChars="200"/>
        <w:rPr>
          <w:rFonts w:hint="eastAsia" w:ascii="仿宋_GB2312" w:hAnsi="宋体" w:eastAsia="仿宋_GB2312"/>
          <w:b/>
          <w:bCs/>
          <w:sz w:val="24"/>
          <w:szCs w:val="24"/>
          <w:lang w:val="en-US" w:eastAsia="zh-CN"/>
        </w:rPr>
      </w:pPr>
      <w:r>
        <w:rPr>
          <w:rFonts w:hint="eastAsia" w:ascii="仿宋_GB2312" w:hAnsi="宋体" w:eastAsia="仿宋_GB2312"/>
          <w:b/>
          <w:bCs/>
          <w:sz w:val="24"/>
          <w:szCs w:val="24"/>
          <w:lang w:val="en-US" w:eastAsia="zh-CN"/>
        </w:rPr>
        <w:t>十、关于保障农民工工资支付的特别约定</w:t>
      </w:r>
    </w:p>
    <w:p w14:paraId="7B5EFED9">
      <w:pPr>
        <w:ind w:firstLine="480" w:firstLineChars="200"/>
        <w:rPr>
          <w:rFonts w:hint="default" w:ascii="仿宋_GB2312" w:hAnsi="宋体" w:eastAsia="仿宋_GB2312"/>
          <w:sz w:val="24"/>
          <w:szCs w:val="24"/>
          <w:lang w:val="en-US" w:eastAsia="zh-CN"/>
        </w:rPr>
      </w:pPr>
      <w:r>
        <w:rPr>
          <w:rFonts w:hint="eastAsia" w:ascii="仿宋_GB2312" w:hAnsi="宋体" w:eastAsia="仿宋_GB2312"/>
          <w:sz w:val="24"/>
          <w:szCs w:val="24"/>
          <w:lang w:val="en-US" w:eastAsia="zh-CN"/>
        </w:rPr>
        <w:t>双方应严格执行《保障农民工工资支付条例》，甲方有权对乙方按时足额支付农民工工资的行为进行监督，有权在双方履行承运结算手续时要求乙方提供农民工工资领取清单或工资发放计划。若本合同履行过程中发生因乙方原因造成的农民工集体讨薪事件，而乙方不能及时处理的，甲方有权扣除履约保证金20万元，取消其拉运资格，终止合同，并在大唐陕西公司系统冻结其一年竞价资格。并按照人力资源社会保障行政部门裁定，以未结清的运费为限先行垫付被乙方拖欠的农民工工资，并在向乙方支付的运费中扣减该部分款项。</w:t>
      </w:r>
    </w:p>
    <w:p w14:paraId="75189B7B">
      <w:pPr>
        <w:ind w:firstLine="482" w:firstLineChars="200"/>
        <w:rPr>
          <w:rFonts w:ascii="仿宋_GB2312" w:hAnsi="宋体" w:eastAsia="仿宋_GB2312"/>
          <w:color w:val="FF0000"/>
          <w:sz w:val="24"/>
          <w:szCs w:val="24"/>
        </w:rPr>
      </w:pPr>
      <w:r>
        <w:rPr>
          <w:rFonts w:hint="eastAsia" w:ascii="仿宋_GB2312" w:hAnsi="宋体" w:eastAsia="仿宋_GB2312"/>
          <w:b/>
          <w:bCs/>
          <w:sz w:val="24"/>
          <w:szCs w:val="24"/>
        </w:rPr>
        <w:t>十</w:t>
      </w:r>
      <w:r>
        <w:rPr>
          <w:rFonts w:hint="eastAsia" w:ascii="仿宋_GB2312" w:hAnsi="宋体" w:eastAsia="仿宋_GB2312"/>
          <w:b/>
          <w:bCs/>
          <w:sz w:val="24"/>
          <w:szCs w:val="24"/>
          <w:lang w:val="en-US" w:eastAsia="zh-CN"/>
        </w:rPr>
        <w:t>一</w:t>
      </w:r>
      <w:r>
        <w:rPr>
          <w:rFonts w:hint="eastAsia" w:ascii="仿宋_GB2312" w:hAnsi="宋体" w:eastAsia="仿宋_GB2312"/>
          <w:sz w:val="24"/>
          <w:szCs w:val="24"/>
        </w:rPr>
        <w:t>、合</w:t>
      </w:r>
      <w:r>
        <w:rPr>
          <w:rFonts w:hint="eastAsia" w:ascii="仿宋_GB2312" w:hAnsi="宋体" w:eastAsia="仿宋_GB2312"/>
          <w:color w:val="auto"/>
          <w:sz w:val="24"/>
          <w:szCs w:val="24"/>
        </w:rPr>
        <w:t>同执行期：</w:t>
      </w:r>
      <w:r>
        <w:rPr>
          <w:rFonts w:hint="eastAsia" w:ascii="仿宋_GB2312" w:hAnsi="宋体" w:eastAsia="仿宋_GB2312"/>
          <w:color w:val="auto"/>
          <w:sz w:val="24"/>
          <w:szCs w:val="24"/>
          <w:u w:val="single"/>
          <w:lang w:val="en-US" w:eastAsia="zh-CN"/>
        </w:rPr>
        <w:t>2026</w:t>
      </w:r>
      <w:r>
        <w:rPr>
          <w:rFonts w:hint="eastAsia" w:ascii="仿宋_GB2312" w:hAnsi="宋体" w:eastAsia="仿宋_GB2312"/>
          <w:color w:val="auto"/>
          <w:sz w:val="24"/>
          <w:szCs w:val="24"/>
        </w:rPr>
        <w:t>年</w:t>
      </w:r>
      <w:r>
        <w:rPr>
          <w:rFonts w:hint="eastAsia" w:ascii="仿宋_GB2312" w:hAnsi="宋体" w:eastAsia="仿宋_GB2312"/>
          <w:color w:val="auto"/>
          <w:sz w:val="24"/>
          <w:szCs w:val="24"/>
          <w:u w:val="single"/>
          <w:lang w:val="en-US" w:eastAsia="zh-CN"/>
        </w:rPr>
        <w:t>4</w:t>
      </w:r>
      <w:r>
        <w:rPr>
          <w:rFonts w:hint="eastAsia" w:ascii="仿宋_GB2312" w:hAnsi="宋体" w:eastAsia="仿宋_GB2312"/>
          <w:color w:val="auto"/>
          <w:sz w:val="24"/>
          <w:szCs w:val="24"/>
        </w:rPr>
        <w:t>月</w:t>
      </w:r>
      <w:r>
        <w:rPr>
          <w:rFonts w:hint="eastAsia" w:ascii="仿宋_GB2312" w:hAnsi="宋体" w:eastAsia="仿宋_GB2312"/>
          <w:color w:val="auto"/>
          <w:sz w:val="24"/>
          <w:szCs w:val="24"/>
          <w:u w:val="single"/>
          <w:lang w:val="en-US" w:eastAsia="zh-CN"/>
        </w:rPr>
        <w:t>1</w:t>
      </w:r>
      <w:r>
        <w:rPr>
          <w:rFonts w:hint="eastAsia" w:ascii="仿宋_GB2312" w:hAnsi="宋体" w:eastAsia="仿宋_GB2312"/>
          <w:color w:val="auto"/>
          <w:sz w:val="24"/>
          <w:szCs w:val="24"/>
        </w:rPr>
        <w:t>日—</w:t>
      </w:r>
      <w:r>
        <w:rPr>
          <w:rFonts w:hint="eastAsia" w:ascii="仿宋_GB2312" w:hAnsi="宋体" w:eastAsia="仿宋_GB2312"/>
          <w:color w:val="auto"/>
          <w:sz w:val="24"/>
          <w:szCs w:val="24"/>
          <w:u w:val="single"/>
          <w:lang w:val="en-US" w:eastAsia="zh-CN"/>
        </w:rPr>
        <w:t>2026</w:t>
      </w:r>
      <w:r>
        <w:rPr>
          <w:rFonts w:hint="eastAsia" w:ascii="仿宋_GB2312" w:hAnsi="宋体" w:eastAsia="仿宋_GB2312"/>
          <w:color w:val="auto"/>
          <w:sz w:val="24"/>
          <w:szCs w:val="24"/>
        </w:rPr>
        <w:t>年</w:t>
      </w:r>
      <w:r>
        <w:rPr>
          <w:rFonts w:hint="eastAsia" w:ascii="仿宋_GB2312" w:hAnsi="宋体" w:eastAsia="仿宋_GB2312"/>
          <w:color w:val="auto"/>
          <w:sz w:val="24"/>
          <w:szCs w:val="24"/>
          <w:u w:val="single"/>
          <w:lang w:val="en-US" w:eastAsia="zh-CN"/>
        </w:rPr>
        <w:t>9</w:t>
      </w:r>
      <w:r>
        <w:rPr>
          <w:rFonts w:hint="eastAsia" w:ascii="仿宋_GB2312" w:hAnsi="宋体" w:eastAsia="仿宋_GB2312"/>
          <w:color w:val="auto"/>
          <w:sz w:val="24"/>
          <w:szCs w:val="24"/>
        </w:rPr>
        <w:t>月</w:t>
      </w:r>
      <w:r>
        <w:rPr>
          <w:rFonts w:hint="eastAsia" w:ascii="仿宋_GB2312" w:hAnsi="宋体" w:eastAsia="仿宋_GB2312"/>
          <w:color w:val="auto"/>
          <w:sz w:val="24"/>
          <w:szCs w:val="24"/>
          <w:u w:val="single"/>
          <w:lang w:val="en-US" w:eastAsia="zh-CN"/>
        </w:rPr>
        <w:t>30</w:t>
      </w:r>
      <w:r>
        <w:rPr>
          <w:rFonts w:hint="eastAsia" w:ascii="仿宋_GB2312" w:hAnsi="宋体" w:eastAsia="仿宋_GB2312"/>
          <w:color w:val="auto"/>
          <w:sz w:val="24"/>
          <w:szCs w:val="24"/>
          <w:u w:val="none"/>
          <w:lang w:val="en-US" w:eastAsia="zh-CN"/>
        </w:rPr>
        <w:t>日。</w:t>
      </w:r>
    </w:p>
    <w:p w14:paraId="00C45DBC">
      <w:pPr>
        <w:ind w:firstLine="482" w:firstLineChars="200"/>
        <w:rPr>
          <w:rFonts w:ascii="仿宋_GB2312" w:hAnsi="宋体" w:eastAsia="仿宋_GB2312"/>
          <w:sz w:val="24"/>
          <w:szCs w:val="24"/>
        </w:rPr>
      </w:pPr>
      <w:r>
        <w:rPr>
          <w:rFonts w:hint="eastAsia" w:ascii="仿宋_GB2312" w:hAnsi="宋体" w:eastAsia="仿宋_GB2312"/>
          <w:b/>
          <w:bCs/>
          <w:sz w:val="24"/>
          <w:szCs w:val="24"/>
        </w:rPr>
        <w:t>十</w:t>
      </w:r>
      <w:r>
        <w:rPr>
          <w:rFonts w:hint="eastAsia" w:ascii="仿宋_GB2312" w:hAnsi="宋体" w:eastAsia="仿宋_GB2312"/>
          <w:b/>
          <w:bCs/>
          <w:sz w:val="24"/>
          <w:szCs w:val="24"/>
          <w:lang w:val="en-US" w:eastAsia="zh-CN"/>
        </w:rPr>
        <w:t>二</w:t>
      </w:r>
      <w:r>
        <w:rPr>
          <w:rFonts w:hint="eastAsia" w:ascii="仿宋_GB2312" w:hAnsi="宋体" w:eastAsia="仿宋_GB2312"/>
          <w:sz w:val="24"/>
          <w:szCs w:val="24"/>
        </w:rPr>
        <w:t>、甲方、乙方在执行过程中，</w:t>
      </w:r>
      <w:r>
        <w:rPr>
          <w:rFonts w:hint="eastAsia" w:ascii="仿宋_GB2312" w:eastAsia="仿宋_GB2312"/>
          <w:sz w:val="24"/>
          <w:szCs w:val="24"/>
        </w:rPr>
        <w:t>如遇不可抗力（包括但不限于自然灾害、战争、政府征用、没收等不可预见、不能克服、不能避免的事件与因素）致使合同无法正常履行的，甲乙双方对此均不承担违约责任。</w:t>
      </w:r>
      <w:r>
        <w:rPr>
          <w:rFonts w:hint="eastAsia" w:ascii="仿宋_GB2312" w:hAnsi="宋体" w:eastAsia="仿宋_GB2312"/>
          <w:sz w:val="24"/>
          <w:szCs w:val="24"/>
        </w:rPr>
        <w:t>在履行合同时发生争议，首先应采取协商解决的方法，如协商未果可依法向甲方所在地人民法院诉讼解决。</w:t>
      </w:r>
    </w:p>
    <w:p w14:paraId="4EA1666E">
      <w:pPr>
        <w:ind w:firstLine="482" w:firstLineChars="200"/>
        <w:rPr>
          <w:rFonts w:ascii="仿宋_GB2312" w:hAnsi="宋体" w:eastAsia="仿宋_GB2312"/>
          <w:sz w:val="24"/>
          <w:szCs w:val="24"/>
        </w:rPr>
      </w:pPr>
      <w:r>
        <w:rPr>
          <w:rFonts w:hint="eastAsia" w:ascii="仿宋_GB2312" w:hAnsi="宋体" w:eastAsia="仿宋_GB2312"/>
          <w:b/>
          <w:bCs/>
          <w:sz w:val="24"/>
          <w:szCs w:val="24"/>
        </w:rPr>
        <w:t>十</w:t>
      </w:r>
      <w:r>
        <w:rPr>
          <w:rFonts w:hint="eastAsia" w:ascii="仿宋_GB2312" w:hAnsi="宋体" w:eastAsia="仿宋_GB2312"/>
          <w:b/>
          <w:bCs/>
          <w:sz w:val="24"/>
          <w:szCs w:val="24"/>
          <w:lang w:val="en-US" w:eastAsia="zh-CN"/>
        </w:rPr>
        <w:t>三</w:t>
      </w:r>
      <w:r>
        <w:rPr>
          <w:rFonts w:hint="eastAsia" w:ascii="仿宋_GB2312" w:hAnsi="宋体" w:eastAsia="仿宋_GB2312"/>
          <w:sz w:val="24"/>
          <w:szCs w:val="24"/>
        </w:rPr>
        <w:t>、双方未尽事宜协商解决。协商不能，任何一方有权向</w:t>
      </w:r>
      <w:r>
        <w:rPr>
          <w:rFonts w:hint="eastAsia" w:ascii="仿宋_GB2312" w:hAnsi="宋体" w:eastAsia="仿宋_GB2312"/>
          <w:sz w:val="24"/>
          <w:szCs w:val="24"/>
          <w:lang w:val="en-US" w:eastAsia="zh-CN"/>
        </w:rPr>
        <w:t>甲方</w:t>
      </w:r>
      <w:r>
        <w:rPr>
          <w:rFonts w:hint="eastAsia" w:ascii="仿宋_GB2312" w:hAnsi="宋体" w:eastAsia="仿宋_GB2312"/>
          <w:sz w:val="24"/>
          <w:szCs w:val="24"/>
        </w:rPr>
        <w:t>所在地有管辖权的人民法院诉讼。</w:t>
      </w:r>
    </w:p>
    <w:p w14:paraId="5A2C3511">
      <w:pPr>
        <w:ind w:firstLine="482" w:firstLineChars="200"/>
        <w:rPr>
          <w:rFonts w:ascii="仿宋_GB2312" w:hAnsi="宋体" w:eastAsia="仿宋_GB2312"/>
          <w:b/>
          <w:sz w:val="24"/>
          <w:szCs w:val="24"/>
        </w:rPr>
      </w:pPr>
      <w:r>
        <w:rPr>
          <w:rFonts w:hint="eastAsia" w:ascii="仿宋_GB2312" w:hAnsi="宋体" w:eastAsia="仿宋_GB2312"/>
          <w:b/>
          <w:sz w:val="24"/>
          <w:szCs w:val="24"/>
        </w:rPr>
        <w:t>十</w:t>
      </w:r>
      <w:r>
        <w:rPr>
          <w:rFonts w:hint="eastAsia" w:ascii="仿宋_GB2312" w:hAnsi="宋体" w:eastAsia="仿宋_GB2312"/>
          <w:b/>
          <w:sz w:val="24"/>
          <w:szCs w:val="24"/>
          <w:lang w:val="en-US" w:eastAsia="zh-CN"/>
        </w:rPr>
        <w:t>四</w:t>
      </w:r>
      <w:r>
        <w:rPr>
          <w:rFonts w:hint="eastAsia" w:ascii="仿宋_GB2312" w:hAnsi="宋体" w:eastAsia="仿宋_GB2312"/>
          <w:b/>
          <w:sz w:val="24"/>
          <w:szCs w:val="24"/>
        </w:rPr>
        <w:t>、甲方开票信息</w:t>
      </w:r>
    </w:p>
    <w:p w14:paraId="37AAF50B">
      <w:pPr>
        <w:ind w:firstLine="480" w:firstLineChars="200"/>
        <w:rPr>
          <w:rFonts w:ascii="仿宋_GB2312" w:hAnsi="宋体" w:eastAsia="仿宋_GB2312"/>
          <w:bCs/>
          <w:sz w:val="24"/>
          <w:szCs w:val="24"/>
        </w:rPr>
      </w:pPr>
      <w:r>
        <w:rPr>
          <w:rFonts w:hint="eastAsia" w:ascii="仿宋_GB2312" w:hAnsi="宋体" w:eastAsia="仿宋_GB2312"/>
          <w:bCs/>
          <w:sz w:val="24"/>
          <w:szCs w:val="24"/>
        </w:rPr>
        <w:t>单位名称：大唐陕西发电有限公司</w:t>
      </w:r>
    </w:p>
    <w:p w14:paraId="370CA2F3">
      <w:pPr>
        <w:ind w:firstLine="480" w:firstLineChars="200"/>
        <w:rPr>
          <w:rFonts w:ascii="仿宋_GB2312" w:hAnsi="宋体" w:eastAsia="仿宋_GB2312"/>
          <w:bCs/>
          <w:sz w:val="24"/>
          <w:szCs w:val="24"/>
        </w:rPr>
      </w:pPr>
      <w:r>
        <w:rPr>
          <w:rFonts w:hint="eastAsia" w:ascii="仿宋_GB2312" w:hAnsi="宋体" w:eastAsia="仿宋_GB2312"/>
          <w:bCs/>
          <w:sz w:val="24"/>
          <w:szCs w:val="24"/>
        </w:rPr>
        <w:t>纳税人识别号：9161000029419556XT</w:t>
      </w:r>
    </w:p>
    <w:p w14:paraId="740F497F">
      <w:pPr>
        <w:ind w:firstLine="480" w:firstLineChars="200"/>
        <w:rPr>
          <w:rFonts w:ascii="仿宋_GB2312" w:hAnsi="宋体" w:eastAsia="仿宋_GB2312"/>
          <w:bCs/>
          <w:sz w:val="24"/>
          <w:szCs w:val="24"/>
        </w:rPr>
      </w:pPr>
      <w:r>
        <w:rPr>
          <w:rFonts w:hint="eastAsia" w:ascii="仿宋_GB2312" w:hAnsi="宋体" w:eastAsia="仿宋_GB2312"/>
          <w:bCs/>
          <w:sz w:val="24"/>
          <w:szCs w:val="24"/>
        </w:rPr>
        <w:t>地址、电话：西安市高新区沣惠南路32号029-68685555</w:t>
      </w:r>
    </w:p>
    <w:p w14:paraId="5B3821DC">
      <w:pPr>
        <w:ind w:firstLine="480" w:firstLineChars="200"/>
        <w:rPr>
          <w:rFonts w:ascii="仿宋_GB2312" w:hAnsi="宋体" w:eastAsia="仿宋_GB2312"/>
          <w:bCs/>
          <w:sz w:val="24"/>
          <w:szCs w:val="24"/>
        </w:rPr>
      </w:pPr>
      <w:r>
        <w:rPr>
          <w:rFonts w:hint="eastAsia" w:ascii="仿宋_GB2312" w:hAnsi="宋体" w:eastAsia="仿宋_GB2312"/>
          <w:bCs/>
          <w:sz w:val="24"/>
          <w:szCs w:val="24"/>
        </w:rPr>
        <w:t>开户行及账号：建行西安莲湖路支行61001711100050002882</w:t>
      </w:r>
    </w:p>
    <w:p w14:paraId="536145A2">
      <w:pPr>
        <w:ind w:firstLine="480" w:firstLineChars="200"/>
        <w:rPr>
          <w:rFonts w:ascii="仿宋_GB2312" w:hAnsi="宋体" w:eastAsia="仿宋_GB2312"/>
          <w:bCs/>
          <w:sz w:val="24"/>
          <w:szCs w:val="24"/>
        </w:rPr>
      </w:pPr>
      <w:r>
        <w:rPr>
          <w:rFonts w:hint="eastAsia" w:ascii="仿宋_GB2312" w:hAnsi="宋体" w:eastAsia="仿宋_GB2312"/>
          <w:bCs/>
          <w:sz w:val="24"/>
          <w:szCs w:val="24"/>
        </w:rPr>
        <w:t>备注信息：大唐延安热电厂</w:t>
      </w:r>
    </w:p>
    <w:p w14:paraId="2751B60F">
      <w:pPr>
        <w:ind w:firstLine="482" w:firstLineChars="200"/>
        <w:rPr>
          <w:rFonts w:ascii="仿宋_GB2312" w:hAnsi="宋体" w:eastAsia="仿宋_GB2312"/>
          <w:sz w:val="24"/>
          <w:szCs w:val="24"/>
        </w:rPr>
      </w:pPr>
      <w:r>
        <w:rPr>
          <w:rFonts w:hint="eastAsia" w:ascii="仿宋_GB2312" w:hAnsi="宋体" w:eastAsia="仿宋_GB2312"/>
          <w:b/>
          <w:bCs/>
          <w:color w:val="auto"/>
          <w:sz w:val="24"/>
          <w:szCs w:val="24"/>
        </w:rPr>
        <w:t>十</w:t>
      </w:r>
      <w:r>
        <w:rPr>
          <w:rFonts w:hint="eastAsia" w:ascii="仿宋_GB2312" w:hAnsi="宋体" w:eastAsia="仿宋_GB2312"/>
          <w:b/>
          <w:bCs/>
          <w:color w:val="auto"/>
          <w:sz w:val="24"/>
          <w:szCs w:val="24"/>
          <w:lang w:val="en-US" w:eastAsia="zh-CN"/>
        </w:rPr>
        <w:t>五</w:t>
      </w:r>
      <w:r>
        <w:rPr>
          <w:rFonts w:hint="eastAsia" w:ascii="仿宋_GB2312" w:hAnsi="宋体" w:eastAsia="仿宋_GB2312"/>
          <w:b/>
          <w:bCs/>
          <w:color w:val="auto"/>
          <w:sz w:val="24"/>
          <w:szCs w:val="24"/>
        </w:rPr>
        <w:t>、</w:t>
      </w:r>
      <w:r>
        <w:rPr>
          <w:rFonts w:hint="eastAsia" w:ascii="仿宋_GB2312" w:hAnsi="宋体" w:eastAsia="仿宋_GB2312"/>
          <w:sz w:val="24"/>
          <w:szCs w:val="24"/>
        </w:rPr>
        <w:t>本合同一式【</w:t>
      </w:r>
      <w:r>
        <w:rPr>
          <w:rFonts w:hint="eastAsia" w:ascii="仿宋_GB2312" w:hAnsi="宋体" w:eastAsia="仿宋_GB2312"/>
          <w:sz w:val="24"/>
          <w:szCs w:val="24"/>
          <w:lang w:val="en-US" w:eastAsia="zh-CN"/>
        </w:rPr>
        <w:t>6</w:t>
      </w:r>
      <w:r>
        <w:rPr>
          <w:rFonts w:hint="eastAsia" w:ascii="仿宋_GB2312" w:hAnsi="宋体" w:eastAsia="仿宋_GB2312"/>
          <w:sz w:val="24"/>
          <w:szCs w:val="24"/>
        </w:rPr>
        <w:t>】份，</w:t>
      </w:r>
      <w:r>
        <w:rPr>
          <w:rFonts w:hint="eastAsia" w:ascii="仿宋_GB2312" w:hAnsi="宋体" w:eastAsia="仿宋_GB2312"/>
          <w:sz w:val="24"/>
          <w:szCs w:val="24"/>
          <w:lang w:val="en-US" w:eastAsia="zh-CN"/>
        </w:rPr>
        <w:t>甲方</w:t>
      </w:r>
      <w:r>
        <w:rPr>
          <w:rFonts w:hint="eastAsia" w:ascii="仿宋_GB2312" w:hAnsi="宋体" w:eastAsia="仿宋_GB2312"/>
          <w:sz w:val="24"/>
          <w:szCs w:val="24"/>
        </w:rPr>
        <w:t>执【</w:t>
      </w:r>
      <w:r>
        <w:rPr>
          <w:rFonts w:hint="eastAsia" w:ascii="仿宋_GB2312" w:hAnsi="宋体" w:eastAsia="仿宋_GB2312"/>
          <w:sz w:val="24"/>
          <w:szCs w:val="24"/>
          <w:lang w:val="en-US" w:eastAsia="zh-CN"/>
        </w:rPr>
        <w:t>4</w:t>
      </w:r>
      <w:r>
        <w:rPr>
          <w:rFonts w:hint="eastAsia" w:ascii="仿宋_GB2312" w:hAnsi="宋体" w:eastAsia="仿宋_GB2312"/>
          <w:sz w:val="24"/>
          <w:szCs w:val="24"/>
        </w:rPr>
        <w:t>】份，</w:t>
      </w:r>
      <w:r>
        <w:rPr>
          <w:rFonts w:hint="eastAsia" w:ascii="仿宋_GB2312" w:hAnsi="宋体" w:eastAsia="仿宋_GB2312"/>
          <w:sz w:val="24"/>
          <w:szCs w:val="24"/>
          <w:lang w:val="en-US" w:eastAsia="zh-CN"/>
        </w:rPr>
        <w:t>乙方</w:t>
      </w:r>
      <w:r>
        <w:rPr>
          <w:rFonts w:hint="eastAsia" w:ascii="仿宋_GB2312" w:hAnsi="宋体" w:eastAsia="仿宋_GB2312"/>
          <w:sz w:val="24"/>
          <w:szCs w:val="24"/>
        </w:rPr>
        <w:t>执【</w:t>
      </w:r>
      <w:r>
        <w:rPr>
          <w:rFonts w:hint="eastAsia" w:ascii="仿宋_GB2312" w:hAnsi="宋体" w:eastAsia="仿宋_GB2312"/>
          <w:sz w:val="24"/>
          <w:szCs w:val="24"/>
          <w:lang w:val="en-US" w:eastAsia="zh-CN"/>
        </w:rPr>
        <w:t>2</w:t>
      </w:r>
      <w:r>
        <w:rPr>
          <w:rFonts w:hint="eastAsia" w:ascii="仿宋_GB2312" w:hAnsi="宋体" w:eastAsia="仿宋_GB2312"/>
          <w:sz w:val="24"/>
          <w:szCs w:val="24"/>
        </w:rPr>
        <w:t>】份</w:t>
      </w:r>
      <w:r>
        <w:rPr>
          <w:rFonts w:hint="eastAsia" w:ascii="仿宋_GB2312" w:hAnsi="宋体" w:eastAsia="仿宋_GB2312"/>
          <w:sz w:val="24"/>
          <w:szCs w:val="24"/>
          <w:lang w:eastAsia="zh-CN"/>
        </w:rPr>
        <w:t>，</w:t>
      </w:r>
      <w:r>
        <w:rPr>
          <w:rFonts w:hint="eastAsia" w:ascii="仿宋_GB2312" w:hAnsi="宋体" w:eastAsia="仿宋_GB2312"/>
          <w:sz w:val="24"/>
          <w:szCs w:val="24"/>
        </w:rPr>
        <w:t>具有同等法律效力。</w:t>
      </w:r>
    </w:p>
    <w:p w14:paraId="4CD429AB">
      <w:pPr>
        <w:ind w:firstLine="480" w:firstLineChars="200"/>
        <w:jc w:val="left"/>
        <w:rPr>
          <w:rFonts w:hint="eastAsia" w:ascii="仿宋_GB2312" w:eastAsia="仿宋_GB2312"/>
          <w:sz w:val="24"/>
          <w:szCs w:val="24"/>
        </w:rPr>
      </w:pPr>
    </w:p>
    <w:tbl>
      <w:tblPr>
        <w:tblStyle w:val="10"/>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61"/>
        <w:gridCol w:w="4261"/>
      </w:tblGrid>
      <w:tr w14:paraId="459A5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710598A7">
            <w:pPr>
              <w:spacing w:line="380" w:lineRule="exact"/>
              <w:rPr>
                <w:rFonts w:ascii="宋体" w:hAnsi="宋体"/>
                <w:sz w:val="24"/>
                <w:szCs w:val="24"/>
              </w:rPr>
            </w:pPr>
            <w:r>
              <w:rPr>
                <w:rFonts w:hint="eastAsia" w:ascii="宋体" w:hAnsi="宋体"/>
                <w:sz w:val="24"/>
                <w:szCs w:val="24"/>
              </w:rPr>
              <w:t>卖方（盖章）：</w:t>
            </w:r>
          </w:p>
          <w:p w14:paraId="7933EE35">
            <w:pPr>
              <w:spacing w:line="380" w:lineRule="exact"/>
              <w:rPr>
                <w:rFonts w:ascii="宋体" w:hAnsi="宋体"/>
                <w:sz w:val="24"/>
                <w:szCs w:val="24"/>
              </w:rPr>
            </w:pPr>
          </w:p>
        </w:tc>
        <w:tc>
          <w:tcPr>
            <w:tcW w:w="4261" w:type="dxa"/>
            <w:noWrap w:val="0"/>
            <w:vAlign w:val="center"/>
          </w:tcPr>
          <w:p w14:paraId="4A7EB645">
            <w:pPr>
              <w:spacing w:line="380" w:lineRule="exact"/>
              <w:jc w:val="both"/>
              <w:rPr>
                <w:rFonts w:ascii="宋体" w:hAnsi="宋体"/>
                <w:sz w:val="24"/>
                <w:szCs w:val="24"/>
              </w:rPr>
            </w:pPr>
            <w:r>
              <w:rPr>
                <w:rFonts w:hint="eastAsia" w:ascii="宋体" w:hAnsi="宋体"/>
                <w:sz w:val="24"/>
                <w:szCs w:val="24"/>
              </w:rPr>
              <w:t>买方（盖章）：</w:t>
            </w:r>
          </w:p>
          <w:p w14:paraId="45503E51">
            <w:pPr>
              <w:spacing w:line="380" w:lineRule="exact"/>
              <w:jc w:val="both"/>
              <w:rPr>
                <w:rFonts w:ascii="宋体" w:hAnsi="宋体"/>
                <w:sz w:val="24"/>
                <w:szCs w:val="24"/>
              </w:rPr>
            </w:pPr>
            <w:r>
              <w:rPr>
                <w:rFonts w:hint="eastAsia" w:ascii="宋体" w:hAnsi="宋体"/>
                <w:sz w:val="24"/>
                <w:szCs w:val="24"/>
              </w:rPr>
              <w:t>大唐陕西发电有限公司延安热电厂</w:t>
            </w:r>
          </w:p>
        </w:tc>
      </w:tr>
      <w:tr w14:paraId="0CE6D8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47E4433D">
            <w:pPr>
              <w:spacing w:line="380" w:lineRule="exact"/>
              <w:rPr>
                <w:rFonts w:ascii="宋体" w:hAnsi="宋体"/>
                <w:color w:val="auto"/>
                <w:sz w:val="24"/>
                <w:szCs w:val="24"/>
              </w:rPr>
            </w:pPr>
            <w:r>
              <w:rPr>
                <w:rFonts w:hint="eastAsia" w:ascii="宋体" w:hAnsi="宋体"/>
                <w:color w:val="auto"/>
                <w:sz w:val="24"/>
                <w:szCs w:val="24"/>
              </w:rPr>
              <w:t>法定代表人或授权代表（签字）：</w:t>
            </w:r>
          </w:p>
          <w:p w14:paraId="47FF6550">
            <w:pPr>
              <w:spacing w:line="380" w:lineRule="exact"/>
              <w:rPr>
                <w:rFonts w:ascii="宋体" w:hAnsi="宋体"/>
                <w:color w:val="auto"/>
                <w:sz w:val="24"/>
                <w:szCs w:val="24"/>
              </w:rPr>
            </w:pPr>
          </w:p>
        </w:tc>
        <w:tc>
          <w:tcPr>
            <w:tcW w:w="4261" w:type="dxa"/>
            <w:noWrap w:val="0"/>
            <w:vAlign w:val="center"/>
          </w:tcPr>
          <w:p w14:paraId="7A441A45">
            <w:pPr>
              <w:spacing w:line="380" w:lineRule="exact"/>
              <w:jc w:val="both"/>
              <w:rPr>
                <w:rFonts w:ascii="宋体" w:hAnsi="宋体"/>
                <w:sz w:val="24"/>
                <w:szCs w:val="24"/>
              </w:rPr>
            </w:pPr>
            <w:r>
              <w:rPr>
                <w:rFonts w:hint="eastAsia" w:ascii="宋体" w:hAnsi="宋体"/>
                <w:sz w:val="24"/>
                <w:szCs w:val="24"/>
              </w:rPr>
              <w:t>法定代表人或授权代表（签字）：</w:t>
            </w:r>
          </w:p>
          <w:p w14:paraId="430649EA">
            <w:pPr>
              <w:spacing w:line="380" w:lineRule="exact"/>
              <w:jc w:val="both"/>
              <w:rPr>
                <w:rFonts w:ascii="宋体" w:hAnsi="宋体"/>
                <w:sz w:val="24"/>
                <w:szCs w:val="24"/>
              </w:rPr>
            </w:pPr>
          </w:p>
          <w:p w14:paraId="3CF93EBE">
            <w:pPr>
              <w:spacing w:line="380" w:lineRule="exact"/>
              <w:jc w:val="both"/>
              <w:rPr>
                <w:rFonts w:ascii="宋体" w:hAnsi="宋体"/>
                <w:sz w:val="24"/>
                <w:szCs w:val="24"/>
              </w:rPr>
            </w:pPr>
          </w:p>
          <w:p w14:paraId="19854863">
            <w:pPr>
              <w:spacing w:line="380" w:lineRule="exact"/>
              <w:jc w:val="both"/>
              <w:rPr>
                <w:rFonts w:ascii="宋体" w:hAnsi="宋体"/>
                <w:sz w:val="24"/>
                <w:szCs w:val="24"/>
              </w:rPr>
            </w:pPr>
          </w:p>
          <w:p w14:paraId="40672FAA">
            <w:pPr>
              <w:spacing w:line="380" w:lineRule="exact"/>
              <w:jc w:val="both"/>
              <w:rPr>
                <w:rFonts w:ascii="宋体" w:hAnsi="宋体"/>
                <w:sz w:val="24"/>
                <w:szCs w:val="24"/>
              </w:rPr>
            </w:pPr>
          </w:p>
        </w:tc>
      </w:tr>
      <w:tr w14:paraId="114BA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5F61B43F">
            <w:pPr>
              <w:spacing w:line="380" w:lineRule="exact"/>
              <w:rPr>
                <w:rFonts w:ascii="宋体" w:hAnsi="宋体"/>
                <w:color w:val="auto"/>
                <w:sz w:val="24"/>
                <w:szCs w:val="24"/>
              </w:rPr>
            </w:pPr>
            <w:r>
              <w:rPr>
                <w:rFonts w:hint="eastAsia" w:ascii="宋体" w:hAnsi="宋体"/>
                <w:color w:val="auto"/>
                <w:sz w:val="24"/>
                <w:szCs w:val="24"/>
              </w:rPr>
              <w:t>住所：</w:t>
            </w:r>
          </w:p>
        </w:tc>
        <w:tc>
          <w:tcPr>
            <w:tcW w:w="4261" w:type="dxa"/>
            <w:noWrap w:val="0"/>
            <w:vAlign w:val="center"/>
          </w:tcPr>
          <w:p w14:paraId="7E27E7F8">
            <w:pPr>
              <w:spacing w:line="380" w:lineRule="exact"/>
              <w:jc w:val="both"/>
              <w:rPr>
                <w:rFonts w:ascii="宋体" w:hAnsi="宋体"/>
                <w:sz w:val="24"/>
                <w:szCs w:val="24"/>
              </w:rPr>
            </w:pPr>
            <w:r>
              <w:rPr>
                <w:rFonts w:hint="eastAsia" w:ascii="宋体" w:hAnsi="宋体"/>
                <w:sz w:val="24"/>
                <w:szCs w:val="24"/>
              </w:rPr>
              <w:t>住所：延安市宝塔区姚店镇</w:t>
            </w:r>
          </w:p>
        </w:tc>
      </w:tr>
      <w:tr w14:paraId="53DFD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4BC39BBF">
            <w:pPr>
              <w:spacing w:line="380" w:lineRule="exact"/>
              <w:rPr>
                <w:rFonts w:ascii="宋体" w:hAnsi="宋体"/>
                <w:color w:val="auto"/>
                <w:sz w:val="24"/>
                <w:szCs w:val="24"/>
              </w:rPr>
            </w:pPr>
            <w:r>
              <w:rPr>
                <w:rFonts w:hint="eastAsia" w:ascii="宋体" w:hAnsi="宋体"/>
                <w:color w:val="auto"/>
                <w:sz w:val="24"/>
                <w:szCs w:val="24"/>
              </w:rPr>
              <w:t>通讯地址：</w:t>
            </w:r>
          </w:p>
        </w:tc>
        <w:tc>
          <w:tcPr>
            <w:tcW w:w="4261" w:type="dxa"/>
            <w:noWrap w:val="0"/>
            <w:vAlign w:val="center"/>
          </w:tcPr>
          <w:p w14:paraId="3444C14E">
            <w:pPr>
              <w:spacing w:line="380" w:lineRule="exact"/>
              <w:jc w:val="both"/>
              <w:rPr>
                <w:rFonts w:ascii="宋体" w:hAnsi="宋体"/>
                <w:sz w:val="24"/>
                <w:szCs w:val="24"/>
              </w:rPr>
            </w:pPr>
            <w:r>
              <w:rPr>
                <w:rFonts w:hint="eastAsia" w:ascii="宋体" w:hAnsi="宋体"/>
                <w:sz w:val="24"/>
                <w:szCs w:val="24"/>
              </w:rPr>
              <w:t>通讯地址：延安市宝塔区姚店镇</w:t>
            </w:r>
          </w:p>
        </w:tc>
      </w:tr>
      <w:tr w14:paraId="72FDD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41CB40CA">
            <w:pPr>
              <w:spacing w:line="380" w:lineRule="exact"/>
              <w:rPr>
                <w:rFonts w:ascii="宋体" w:hAnsi="宋体"/>
                <w:color w:val="auto"/>
                <w:sz w:val="24"/>
                <w:szCs w:val="24"/>
              </w:rPr>
            </w:pPr>
            <w:r>
              <w:rPr>
                <w:rFonts w:hint="eastAsia" w:ascii="宋体" w:hAnsi="宋体"/>
                <w:color w:val="auto"/>
                <w:sz w:val="24"/>
                <w:szCs w:val="24"/>
              </w:rPr>
              <w:t>联系人：</w:t>
            </w:r>
          </w:p>
        </w:tc>
        <w:tc>
          <w:tcPr>
            <w:tcW w:w="4261" w:type="dxa"/>
            <w:noWrap w:val="0"/>
            <w:vAlign w:val="center"/>
          </w:tcPr>
          <w:p w14:paraId="5B8A378B">
            <w:pPr>
              <w:spacing w:line="380" w:lineRule="exact"/>
              <w:jc w:val="both"/>
              <w:rPr>
                <w:rFonts w:hint="eastAsia" w:ascii="宋体" w:hAnsi="宋体" w:eastAsia="宋体"/>
                <w:sz w:val="24"/>
                <w:szCs w:val="24"/>
                <w:lang w:val="en-US" w:eastAsia="zh-CN"/>
              </w:rPr>
            </w:pPr>
            <w:r>
              <w:rPr>
                <w:rFonts w:hint="eastAsia" w:ascii="宋体" w:hAnsi="宋体"/>
                <w:sz w:val="24"/>
                <w:szCs w:val="24"/>
              </w:rPr>
              <w:t>联系人：</w:t>
            </w:r>
          </w:p>
        </w:tc>
      </w:tr>
      <w:tr w14:paraId="7B298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2881EA10">
            <w:pPr>
              <w:spacing w:before="100" w:beforeAutospacing="1" w:after="100" w:afterAutospacing="1" w:line="360" w:lineRule="auto"/>
              <w:ind w:right="210" w:rightChars="100"/>
              <w:rPr>
                <w:color w:val="auto"/>
                <w:sz w:val="24"/>
                <w:szCs w:val="24"/>
              </w:rPr>
            </w:pPr>
            <w:r>
              <w:rPr>
                <w:rFonts w:hint="eastAsia" w:ascii="宋体" w:hAnsi="宋体"/>
                <w:color w:val="auto"/>
                <w:sz w:val="24"/>
                <w:szCs w:val="24"/>
              </w:rPr>
              <w:t>联系电话：</w:t>
            </w:r>
          </w:p>
        </w:tc>
        <w:tc>
          <w:tcPr>
            <w:tcW w:w="4261" w:type="dxa"/>
            <w:noWrap w:val="0"/>
            <w:vAlign w:val="center"/>
          </w:tcPr>
          <w:p w14:paraId="742A6A7B">
            <w:pPr>
              <w:spacing w:line="380" w:lineRule="exact"/>
              <w:jc w:val="both"/>
              <w:rPr>
                <w:rFonts w:hint="eastAsia" w:ascii="宋体" w:hAnsi="宋体" w:eastAsia="宋体"/>
                <w:sz w:val="24"/>
                <w:szCs w:val="24"/>
                <w:lang w:val="en-US" w:eastAsia="zh-CN"/>
              </w:rPr>
            </w:pPr>
            <w:r>
              <w:rPr>
                <w:rFonts w:hint="eastAsia" w:ascii="宋体" w:hAnsi="宋体"/>
                <w:sz w:val="24"/>
                <w:szCs w:val="24"/>
              </w:rPr>
              <w:t>联系电话：0911-270308</w:t>
            </w:r>
            <w:r>
              <w:rPr>
                <w:rFonts w:hint="eastAsia" w:ascii="宋体" w:hAnsi="宋体"/>
                <w:sz w:val="24"/>
                <w:szCs w:val="24"/>
                <w:lang w:val="en-US" w:eastAsia="zh-CN"/>
              </w:rPr>
              <w:t>5</w:t>
            </w:r>
          </w:p>
        </w:tc>
      </w:tr>
      <w:tr w14:paraId="3D788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6BCD75E4">
            <w:pPr>
              <w:spacing w:line="380" w:lineRule="exact"/>
              <w:rPr>
                <w:rFonts w:ascii="宋体" w:hAnsi="宋体"/>
                <w:color w:val="auto"/>
                <w:sz w:val="24"/>
                <w:szCs w:val="24"/>
              </w:rPr>
            </w:pPr>
            <w:r>
              <w:rPr>
                <w:rFonts w:hint="eastAsia" w:ascii="宋体" w:hAnsi="宋体"/>
                <w:color w:val="auto"/>
                <w:sz w:val="24"/>
                <w:szCs w:val="24"/>
              </w:rPr>
              <w:t>开户行：</w:t>
            </w:r>
          </w:p>
        </w:tc>
        <w:tc>
          <w:tcPr>
            <w:tcW w:w="4261" w:type="dxa"/>
            <w:noWrap w:val="0"/>
            <w:vAlign w:val="center"/>
          </w:tcPr>
          <w:p w14:paraId="140EE306">
            <w:pPr>
              <w:spacing w:line="360" w:lineRule="exact"/>
              <w:jc w:val="both"/>
              <w:rPr>
                <w:rFonts w:ascii="仿宋_GB2312" w:hAnsi="华文仿宋" w:eastAsia="仿宋_GB2312"/>
                <w:bCs/>
                <w:sz w:val="24"/>
                <w:szCs w:val="24"/>
              </w:rPr>
            </w:pPr>
            <w:r>
              <w:rPr>
                <w:rFonts w:hint="eastAsia" w:ascii="宋体" w:hAnsi="宋体"/>
                <w:sz w:val="24"/>
                <w:szCs w:val="24"/>
              </w:rPr>
              <w:t>开户行：中国工商银行延安宝塔区支行姚店分理处</w:t>
            </w:r>
          </w:p>
        </w:tc>
      </w:tr>
      <w:tr w14:paraId="51ED3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58F9974A">
            <w:pPr>
              <w:spacing w:line="480" w:lineRule="auto"/>
              <w:rPr>
                <w:rFonts w:ascii="宋体" w:hAnsi="宋体"/>
                <w:color w:val="auto"/>
                <w:sz w:val="24"/>
                <w:szCs w:val="24"/>
              </w:rPr>
            </w:pPr>
            <w:r>
              <w:rPr>
                <w:rFonts w:hint="eastAsia" w:ascii="宋体" w:hAnsi="宋体"/>
                <w:color w:val="auto"/>
                <w:sz w:val="24"/>
                <w:szCs w:val="24"/>
              </w:rPr>
              <w:t>账号：</w:t>
            </w:r>
          </w:p>
        </w:tc>
        <w:tc>
          <w:tcPr>
            <w:tcW w:w="4261" w:type="dxa"/>
            <w:noWrap w:val="0"/>
            <w:vAlign w:val="center"/>
          </w:tcPr>
          <w:p w14:paraId="10ACF313">
            <w:pPr>
              <w:spacing w:line="380" w:lineRule="exact"/>
              <w:jc w:val="both"/>
              <w:rPr>
                <w:rFonts w:ascii="宋体" w:hAnsi="宋体"/>
                <w:sz w:val="24"/>
                <w:szCs w:val="24"/>
              </w:rPr>
            </w:pPr>
            <w:r>
              <w:rPr>
                <w:rFonts w:hint="eastAsia" w:ascii="宋体" w:hAnsi="宋体"/>
                <w:sz w:val="24"/>
                <w:szCs w:val="24"/>
              </w:rPr>
              <w:t>账号：2609080609022100608</w:t>
            </w:r>
          </w:p>
        </w:tc>
      </w:tr>
      <w:tr w14:paraId="1BC4D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1" w:type="dxa"/>
            <w:noWrap w:val="0"/>
            <w:vAlign w:val="top"/>
          </w:tcPr>
          <w:p w14:paraId="1D1A7BD2">
            <w:pPr>
              <w:spacing w:line="380" w:lineRule="exact"/>
              <w:rPr>
                <w:rFonts w:ascii="宋体" w:hAnsi="宋体"/>
                <w:color w:val="auto"/>
                <w:sz w:val="24"/>
                <w:szCs w:val="24"/>
              </w:rPr>
            </w:pPr>
            <w:r>
              <w:rPr>
                <w:rFonts w:hint="eastAsia" w:ascii="宋体" w:hAnsi="宋体"/>
                <w:color w:val="auto"/>
                <w:sz w:val="24"/>
                <w:szCs w:val="24"/>
              </w:rPr>
              <w:t>税号：</w:t>
            </w:r>
          </w:p>
        </w:tc>
        <w:tc>
          <w:tcPr>
            <w:tcW w:w="4261" w:type="dxa"/>
            <w:noWrap w:val="0"/>
            <w:vAlign w:val="center"/>
          </w:tcPr>
          <w:p w14:paraId="3D2E857A">
            <w:pPr>
              <w:spacing w:line="380" w:lineRule="exact"/>
              <w:jc w:val="both"/>
              <w:rPr>
                <w:rFonts w:ascii="宋体" w:hAnsi="宋体"/>
                <w:sz w:val="24"/>
                <w:szCs w:val="24"/>
              </w:rPr>
            </w:pPr>
            <w:r>
              <w:rPr>
                <w:rFonts w:hint="eastAsia" w:ascii="宋体" w:hAnsi="宋体"/>
                <w:sz w:val="24"/>
                <w:szCs w:val="24"/>
              </w:rPr>
              <w:t>税号：9161000029419556XT</w:t>
            </w:r>
          </w:p>
        </w:tc>
      </w:tr>
    </w:tbl>
    <w:p w14:paraId="609770D7">
      <w:pPr>
        <w:pStyle w:val="7"/>
        <w:ind w:left="0" w:firstLine="0" w:firstLineChars="0"/>
        <w:rPr>
          <w:rFonts w:ascii="仿宋_GB2312" w:eastAsia="仿宋_GB2312" w:cstheme="minorBidi"/>
          <w:sz w:val="24"/>
        </w:rPr>
      </w:pPr>
    </w:p>
    <w:p w14:paraId="025428CF">
      <w:pPr>
        <w:pStyle w:val="7"/>
        <w:ind w:left="0" w:firstLine="480" w:firstLineChars="200"/>
        <w:rPr>
          <w:rFonts w:ascii="仿宋_GB2312" w:eastAsia="仿宋_GB2312"/>
          <w:sz w:val="24"/>
        </w:rPr>
      </w:pPr>
    </w:p>
    <w:p w14:paraId="278C2FCC">
      <w:pPr>
        <w:pStyle w:val="7"/>
        <w:rPr>
          <w:rFonts w:ascii="仿宋_GB2312" w:eastAsia="仿宋_GB2312"/>
          <w:bCs/>
          <w:sz w:val="24"/>
        </w:rPr>
      </w:pPr>
      <w:r>
        <w:rPr>
          <w:rFonts w:hint="eastAsia" w:ascii="仿宋_GB2312" w:eastAsia="仿宋_GB2312"/>
          <w:sz w:val="24"/>
        </w:rPr>
        <w:t xml:space="preserve">   </w:t>
      </w:r>
      <w:r>
        <w:rPr>
          <w:rFonts w:hint="eastAsia" w:ascii="仿宋_GB2312" w:eastAsia="仿宋_GB2312"/>
          <w:bCs/>
          <w:sz w:val="24"/>
        </w:rPr>
        <w:t xml:space="preserve">      </w:t>
      </w:r>
    </w:p>
    <w:p w14:paraId="0147C94A">
      <w:pPr>
        <w:widowControl/>
        <w:jc w:val="left"/>
        <w:rPr>
          <w:rFonts w:ascii="仿宋_GB2312" w:hAnsi="宋体" w:eastAsia="仿宋_GB2312"/>
          <w:b/>
          <w:sz w:val="24"/>
          <w:szCs w:val="24"/>
        </w:rPr>
      </w:pPr>
    </w:p>
    <w:p w14:paraId="2F1ED43A">
      <w:pPr>
        <w:widowControl/>
        <w:jc w:val="left"/>
        <w:rPr>
          <w:rFonts w:ascii="仿宋_GB2312" w:hAnsi="宋体" w:eastAsia="仿宋_GB2312"/>
          <w:b/>
          <w:sz w:val="24"/>
          <w:szCs w:val="24"/>
        </w:rPr>
      </w:pPr>
    </w:p>
    <w:p w14:paraId="5E3B5B13">
      <w:pPr>
        <w:widowControl/>
        <w:jc w:val="left"/>
        <w:rPr>
          <w:rFonts w:ascii="仿宋_GB2312" w:hAnsi="宋体" w:eastAsia="仿宋_GB2312"/>
          <w:b/>
          <w:sz w:val="24"/>
          <w:szCs w:val="24"/>
        </w:rPr>
      </w:pPr>
    </w:p>
    <w:p w14:paraId="045C35A5">
      <w:pPr>
        <w:widowControl/>
        <w:jc w:val="left"/>
        <w:rPr>
          <w:rFonts w:ascii="仿宋_GB2312" w:hAnsi="宋体" w:eastAsia="仿宋_GB2312"/>
          <w:b/>
          <w:sz w:val="24"/>
          <w:szCs w:val="24"/>
        </w:rPr>
      </w:pPr>
    </w:p>
    <w:p w14:paraId="7AD8C323">
      <w:pPr>
        <w:widowControl/>
        <w:jc w:val="left"/>
        <w:rPr>
          <w:rFonts w:ascii="仿宋_GB2312" w:hAnsi="宋体" w:eastAsia="仿宋_GB2312"/>
          <w:b/>
          <w:sz w:val="24"/>
          <w:szCs w:val="24"/>
        </w:rPr>
      </w:pPr>
    </w:p>
    <w:p w14:paraId="7AB1D062">
      <w:pPr>
        <w:widowControl/>
        <w:jc w:val="left"/>
        <w:rPr>
          <w:rFonts w:ascii="仿宋_GB2312" w:hAnsi="宋体" w:eastAsia="仿宋_GB2312"/>
          <w:b/>
          <w:sz w:val="24"/>
          <w:szCs w:val="24"/>
        </w:rPr>
      </w:pPr>
    </w:p>
    <w:p w14:paraId="79BE6EC7">
      <w:pPr>
        <w:widowControl/>
        <w:jc w:val="left"/>
        <w:rPr>
          <w:rFonts w:ascii="仿宋_GB2312" w:hAnsi="宋体" w:eastAsia="仿宋_GB2312"/>
          <w:b/>
          <w:sz w:val="24"/>
          <w:szCs w:val="24"/>
        </w:rPr>
      </w:pPr>
    </w:p>
    <w:p w14:paraId="0F84A796">
      <w:pPr>
        <w:widowControl/>
        <w:jc w:val="left"/>
        <w:rPr>
          <w:rFonts w:ascii="仿宋_GB2312" w:hAnsi="宋体" w:eastAsia="仿宋_GB2312"/>
          <w:b/>
          <w:sz w:val="24"/>
          <w:szCs w:val="24"/>
        </w:rPr>
      </w:pPr>
    </w:p>
    <w:p w14:paraId="57CDBA63">
      <w:pPr>
        <w:widowControl/>
        <w:jc w:val="left"/>
        <w:rPr>
          <w:rFonts w:ascii="仿宋_GB2312" w:hAnsi="宋体" w:eastAsia="仿宋_GB2312"/>
          <w:b/>
          <w:sz w:val="24"/>
          <w:szCs w:val="24"/>
        </w:rPr>
      </w:pPr>
    </w:p>
    <w:p w14:paraId="6F0691ED">
      <w:pPr>
        <w:widowControl/>
        <w:jc w:val="left"/>
        <w:rPr>
          <w:rFonts w:ascii="仿宋_GB2312" w:hAnsi="宋体" w:eastAsia="仿宋_GB2312"/>
          <w:b/>
          <w:sz w:val="24"/>
          <w:szCs w:val="24"/>
        </w:rPr>
      </w:pPr>
    </w:p>
    <w:p w14:paraId="0F4406B8">
      <w:pPr>
        <w:widowControl/>
        <w:jc w:val="left"/>
        <w:rPr>
          <w:rFonts w:ascii="仿宋_GB2312" w:hAnsi="宋体" w:eastAsia="仿宋_GB2312"/>
          <w:b/>
          <w:sz w:val="24"/>
          <w:szCs w:val="24"/>
        </w:rPr>
      </w:pPr>
    </w:p>
    <w:p w14:paraId="1B90385D">
      <w:pPr>
        <w:widowControl/>
        <w:jc w:val="left"/>
        <w:rPr>
          <w:rFonts w:ascii="仿宋_GB2312" w:hAnsi="宋体" w:eastAsia="仿宋_GB2312"/>
          <w:b/>
          <w:sz w:val="24"/>
          <w:szCs w:val="24"/>
        </w:rPr>
      </w:pPr>
    </w:p>
    <w:p w14:paraId="25745A36">
      <w:pPr>
        <w:widowControl/>
        <w:jc w:val="left"/>
        <w:rPr>
          <w:rFonts w:ascii="仿宋_GB2312" w:hAnsi="宋体" w:eastAsia="仿宋_GB2312"/>
          <w:b/>
          <w:sz w:val="24"/>
          <w:szCs w:val="24"/>
        </w:rPr>
      </w:pPr>
    </w:p>
    <w:p w14:paraId="4E8037A5">
      <w:pPr>
        <w:widowControl/>
        <w:jc w:val="left"/>
        <w:rPr>
          <w:rFonts w:ascii="仿宋_GB2312" w:hAnsi="宋体" w:eastAsia="仿宋_GB2312"/>
          <w:b/>
          <w:sz w:val="24"/>
          <w:szCs w:val="24"/>
        </w:rPr>
      </w:pPr>
    </w:p>
    <w:p w14:paraId="21C43B6A">
      <w:pPr>
        <w:widowControl/>
        <w:jc w:val="left"/>
        <w:rPr>
          <w:rFonts w:ascii="仿宋_GB2312" w:hAnsi="宋体" w:eastAsia="仿宋_GB2312"/>
          <w:b/>
          <w:sz w:val="24"/>
          <w:szCs w:val="24"/>
        </w:rPr>
      </w:pPr>
    </w:p>
    <w:p w14:paraId="484930F8">
      <w:pPr>
        <w:widowControl/>
        <w:jc w:val="left"/>
        <w:rPr>
          <w:rFonts w:ascii="仿宋_GB2312" w:hAnsi="宋体" w:eastAsia="仿宋_GB2312"/>
          <w:b/>
          <w:sz w:val="24"/>
          <w:szCs w:val="24"/>
        </w:rPr>
      </w:pPr>
    </w:p>
    <w:p w14:paraId="72349195">
      <w:pPr>
        <w:widowControl/>
        <w:jc w:val="left"/>
        <w:rPr>
          <w:rFonts w:ascii="仿宋_GB2312" w:hAnsi="宋体" w:eastAsia="仿宋_GB2312"/>
          <w:b/>
          <w:sz w:val="24"/>
          <w:szCs w:val="24"/>
        </w:rPr>
      </w:pPr>
    </w:p>
    <w:p w14:paraId="4BB10B34">
      <w:pPr>
        <w:widowControl/>
        <w:jc w:val="left"/>
        <w:rPr>
          <w:rFonts w:ascii="仿宋_GB2312" w:hAnsi="宋体" w:eastAsia="仿宋_GB2312"/>
          <w:b/>
          <w:sz w:val="24"/>
          <w:szCs w:val="24"/>
        </w:rPr>
      </w:pPr>
    </w:p>
    <w:p w14:paraId="797B85E4">
      <w:pPr>
        <w:widowControl/>
        <w:jc w:val="left"/>
        <w:rPr>
          <w:rFonts w:ascii="仿宋_GB2312" w:hAnsi="宋体" w:eastAsia="仿宋_GB2312"/>
          <w:b/>
          <w:sz w:val="24"/>
          <w:szCs w:val="24"/>
        </w:rPr>
      </w:pPr>
    </w:p>
    <w:p w14:paraId="72671CDB">
      <w:pPr>
        <w:widowControl/>
        <w:jc w:val="left"/>
        <w:rPr>
          <w:rFonts w:ascii="仿宋_GB2312" w:hAnsi="宋体" w:eastAsia="仿宋_GB2312"/>
          <w:b/>
          <w:sz w:val="24"/>
          <w:szCs w:val="24"/>
        </w:rPr>
      </w:pPr>
    </w:p>
    <w:p w14:paraId="0ACAF180">
      <w:pPr>
        <w:widowControl/>
        <w:jc w:val="left"/>
        <w:rPr>
          <w:rFonts w:ascii="仿宋_GB2312" w:hAnsi="宋体" w:eastAsia="仿宋_GB2312"/>
          <w:b/>
          <w:sz w:val="24"/>
          <w:szCs w:val="24"/>
        </w:rPr>
      </w:pPr>
    </w:p>
    <w:p w14:paraId="213FC3B3">
      <w:pPr>
        <w:pStyle w:val="7"/>
        <w:ind w:left="0" w:leftChars="0" w:firstLine="0" w:firstLineChars="0"/>
        <w:rPr>
          <w:rFonts w:hint="eastAsia" w:ascii="宋体" w:hAnsi="宋体"/>
          <w:b/>
          <w:sz w:val="24"/>
          <w:szCs w:val="24"/>
        </w:rPr>
      </w:pPr>
      <w:r>
        <w:rPr>
          <w:rFonts w:hint="eastAsia" w:ascii="宋体" w:hAnsi="宋体"/>
          <w:b/>
          <w:sz w:val="24"/>
          <w:szCs w:val="24"/>
        </w:rPr>
        <w:t>附件</w:t>
      </w:r>
      <w:r>
        <w:rPr>
          <w:rFonts w:hint="eastAsia" w:ascii="宋体" w:hAnsi="宋体"/>
          <w:b/>
          <w:sz w:val="24"/>
          <w:szCs w:val="24"/>
          <w:lang w:val="en-US" w:eastAsia="zh-CN"/>
        </w:rPr>
        <w:t>1</w:t>
      </w:r>
      <w:r>
        <w:rPr>
          <w:rFonts w:hint="eastAsia" w:ascii="宋体" w:hAnsi="宋体"/>
          <w:b/>
          <w:sz w:val="24"/>
          <w:szCs w:val="24"/>
        </w:rPr>
        <w:t>：大唐延安热电厂</w:t>
      </w:r>
      <w:r>
        <w:rPr>
          <w:rFonts w:hint="eastAsia" w:ascii="宋体" w:hAnsi="宋体"/>
          <w:b/>
          <w:sz w:val="24"/>
          <w:szCs w:val="24"/>
          <w:lang w:val="en-US" w:eastAsia="zh-CN"/>
        </w:rPr>
        <w:t>煤质</w:t>
      </w:r>
      <w:r>
        <w:rPr>
          <w:rFonts w:hint="eastAsia" w:ascii="宋体" w:hAnsi="宋体"/>
          <w:b/>
          <w:sz w:val="24"/>
          <w:szCs w:val="24"/>
        </w:rPr>
        <w:t>异常管理</w:t>
      </w:r>
      <w:r>
        <w:rPr>
          <w:rFonts w:hint="eastAsia" w:ascii="宋体" w:hAnsi="宋体"/>
          <w:b/>
          <w:sz w:val="24"/>
          <w:szCs w:val="24"/>
          <w:lang w:val="en-US" w:eastAsia="zh-CN"/>
        </w:rPr>
        <w:t>规定</w:t>
      </w:r>
    </w:p>
    <w:p w14:paraId="15619A2B">
      <w:pPr>
        <w:pStyle w:val="13"/>
        <w:keepNext w:val="0"/>
        <w:keepLines w:val="0"/>
        <w:pageBreakBefore w:val="0"/>
        <w:kinsoku/>
        <w:wordWrap/>
        <w:overflowPunct/>
        <w:topLinePunct w:val="0"/>
        <w:autoSpaceDE/>
        <w:autoSpaceDN/>
        <w:bidi w:val="0"/>
        <w:adjustRightInd/>
        <w:snapToGrid/>
        <w:spacing w:before="0" w:beforeLines="0" w:after="0" w:afterLines="0" w:line="240" w:lineRule="auto"/>
        <w:ind w:left="0" w:firstLine="0"/>
        <w:textAlignment w:val="auto"/>
        <w:rPr>
          <w:rFonts w:hint="eastAsia" w:ascii="方正小标宋简体" w:hAnsi="方正小标宋简体" w:eastAsia="方正小标宋简体" w:cs="方正小标宋简体"/>
          <w:sz w:val="24"/>
          <w:szCs w:val="24"/>
        </w:rPr>
      </w:pPr>
      <w:bookmarkStart w:id="0" w:name="_Toc357250149"/>
      <w:bookmarkStart w:id="1" w:name="_Toc357249727"/>
      <w:bookmarkStart w:id="2" w:name="_Toc261611469"/>
      <w:bookmarkStart w:id="3" w:name="_Toc261611665"/>
      <w:bookmarkStart w:id="4" w:name="_Toc364169142"/>
      <w:bookmarkStart w:id="5" w:name="_Toc401582507"/>
      <w:bookmarkStart w:id="6" w:name="_Toc357350857"/>
      <w:bookmarkStart w:id="7" w:name="_Toc400722686"/>
      <w:bookmarkStart w:id="8" w:name="_Toc262286284"/>
      <w:bookmarkStart w:id="9" w:name="_Toc261611725"/>
      <w:bookmarkStart w:id="10" w:name="_Toc33602261"/>
      <w:bookmarkStart w:id="11" w:name="_Toc261611512"/>
      <w:bookmarkStart w:id="12" w:name="_Toc357340825"/>
      <w:bookmarkStart w:id="13" w:name="_Toc357436060"/>
      <w:bookmarkStart w:id="14" w:name="_Toc33602443"/>
      <w:bookmarkStart w:id="15" w:name="_Toc375068386"/>
      <w:bookmarkStart w:id="16" w:name="_Toc262412897"/>
      <w:bookmarkStart w:id="17" w:name="_Toc364169165"/>
      <w:bookmarkStart w:id="18" w:name="_Toc364169365"/>
      <w:bookmarkStart w:id="19" w:name="_Toc261611786"/>
      <w:bookmarkStart w:id="20" w:name="_Toc362962680"/>
      <w:bookmarkStart w:id="21" w:name="_Toc261853845"/>
      <w:bookmarkStart w:id="22" w:name="_Toc364173131"/>
      <w:bookmarkStart w:id="23" w:name="_Toc261611703"/>
      <w:bookmarkStart w:id="24" w:name="_Toc261611641"/>
      <w:bookmarkStart w:id="25" w:name="_Toc36199715"/>
      <w:bookmarkStart w:id="26" w:name="_Toc36475841"/>
      <w:bookmarkStart w:id="27" w:name="_Toc36284994"/>
      <w:bookmarkStart w:id="28" w:name="_Toc36196669"/>
      <w:bookmarkStart w:id="29" w:name="_Toc36303708"/>
      <w:bookmarkStart w:id="30" w:name="_Toc36486386"/>
      <w:bookmarkStart w:id="31" w:name="_Toc36295263"/>
      <w:bookmarkStart w:id="32" w:name="_Toc36197914"/>
      <w:bookmarkStart w:id="33" w:name="_Toc36197427"/>
      <w:bookmarkStart w:id="34" w:name="_Toc36483745"/>
      <w:bookmarkStart w:id="35" w:name="_Toc36196865"/>
      <w:bookmarkStart w:id="36" w:name="_Toc36247571"/>
      <w:bookmarkStart w:id="37" w:name="_Toc36284727"/>
      <w:r>
        <w:rPr>
          <w:rFonts w:hint="eastAsia" w:ascii="方正小标宋简体" w:hAnsi="方正小标宋简体" w:eastAsia="方正小标宋简体" w:cs="方正小标宋简体"/>
          <w:sz w:val="24"/>
          <w:szCs w:val="24"/>
        </w:rPr>
        <w:t>管理内容、方法</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Pr>
          <w:rFonts w:hint="eastAsia" w:ascii="方正小标宋简体" w:hAnsi="方正小标宋简体" w:eastAsia="方正小标宋简体" w:cs="方正小标宋简体"/>
          <w:sz w:val="24"/>
          <w:szCs w:val="24"/>
        </w:rPr>
        <w:t>和要求</w:t>
      </w:r>
      <w:bookmarkEnd w:id="25"/>
      <w:bookmarkEnd w:id="26"/>
      <w:bookmarkEnd w:id="27"/>
      <w:bookmarkEnd w:id="28"/>
      <w:bookmarkEnd w:id="29"/>
      <w:bookmarkEnd w:id="30"/>
      <w:bookmarkEnd w:id="31"/>
      <w:bookmarkEnd w:id="32"/>
      <w:bookmarkEnd w:id="33"/>
      <w:bookmarkEnd w:id="34"/>
      <w:bookmarkEnd w:id="35"/>
      <w:bookmarkEnd w:id="36"/>
      <w:bookmarkEnd w:id="37"/>
    </w:p>
    <w:p w14:paraId="63E98933">
      <w:pPr>
        <w:keepNext w:val="0"/>
        <w:keepLines w:val="0"/>
        <w:pageBreakBefore w:val="0"/>
        <w:numPr>
          <w:ilvl w:val="1"/>
          <w:numId w:val="4"/>
        </w:numPr>
        <w:kinsoku/>
        <w:wordWrap/>
        <w:overflowPunct/>
        <w:topLinePunct w:val="0"/>
        <w:autoSpaceDE/>
        <w:autoSpaceDN/>
        <w:bidi w:val="0"/>
        <w:adjustRightInd/>
        <w:snapToGrid/>
        <w:spacing w:before="0" w:beforeLines="0" w:after="0" w:afterLines="0" w:line="240" w:lineRule="auto"/>
        <w:ind w:left="0"/>
        <w:textAlignment w:val="auto"/>
        <w:outlineLvl w:val="2"/>
        <w:rPr>
          <w:rFonts w:ascii="黑体" w:hAnsi="Times New Roman" w:eastAsia="黑体" w:cs="Times New Roman"/>
          <w:sz w:val="24"/>
          <w:szCs w:val="24"/>
          <w:lang w:val="en-US" w:eastAsia="zh-CN" w:bidi="ar-SA"/>
        </w:rPr>
      </w:pPr>
      <w:bookmarkStart w:id="38" w:name="_Toc400722688"/>
      <w:bookmarkStart w:id="39" w:name="_Toc33602445"/>
      <w:bookmarkStart w:id="40" w:name="_Toc401582509"/>
      <w:bookmarkStart w:id="41" w:name="_Toc33602263"/>
      <w:bookmarkStart w:id="42" w:name="_Toc375068388"/>
      <w:r>
        <w:rPr>
          <w:rFonts w:hint="eastAsia" w:ascii="黑体" w:hAnsi="Times New Roman" w:eastAsia="黑体" w:cs="Times New Roman"/>
          <w:sz w:val="24"/>
          <w:szCs w:val="24"/>
          <w:lang w:val="en-US" w:eastAsia="zh-CN" w:bidi="ar-SA"/>
        </w:rPr>
        <w:t>煤质异常的范畴</w:t>
      </w:r>
      <w:bookmarkEnd w:id="38"/>
      <w:bookmarkEnd w:id="39"/>
      <w:bookmarkEnd w:id="40"/>
      <w:bookmarkEnd w:id="41"/>
      <w:bookmarkEnd w:id="42"/>
    </w:p>
    <w:p w14:paraId="36C52FB2">
      <w:pPr>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line="240" w:lineRule="auto"/>
        <w:ind w:firstLine="480" w:firstLineChars="200"/>
        <w:jc w:val="both"/>
        <w:textAlignment w:val="auto"/>
        <w:outlineLvl w:val="3"/>
        <w:rPr>
          <w:rFonts w:hint="eastAsia" w:ascii="仿宋_GB2312" w:hAnsi="仿宋_GB2312" w:eastAsia="仿宋_GB2312" w:cs="仿宋_GB2312"/>
          <w:sz w:val="24"/>
          <w:szCs w:val="24"/>
          <w:lang w:val="en-US" w:eastAsia="zh-CN" w:bidi="ar-SA"/>
        </w:rPr>
      </w:pPr>
      <w:bookmarkStart w:id="43" w:name="_Toc306353521"/>
      <w:r>
        <w:rPr>
          <w:rFonts w:hint="eastAsia" w:ascii="仿宋_GB2312" w:hAnsi="仿宋_GB2312" w:eastAsia="仿宋_GB2312" w:cs="仿宋_GB2312"/>
          <w:sz w:val="24"/>
          <w:szCs w:val="24"/>
          <w:lang w:val="en-US" w:eastAsia="zh-CN" w:bidi="ar-SA"/>
        </w:rPr>
        <w:t xml:space="preserve">下列情况之一发生时，可视为煤质异常；如有超出下列范围的情形被疑为异常的，经认定后，也可归为异常范畴。 </w:t>
      </w:r>
    </w:p>
    <w:p w14:paraId="67A301A0">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汽车来煤中有大量矸石造成机械采样装置不能正常采样。</w:t>
      </w:r>
    </w:p>
    <w:p w14:paraId="321FE044">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汽车来煤中有大量大块煤块超</w:t>
      </w:r>
      <w:r>
        <w:rPr>
          <w:rFonts w:hint="eastAsia" w:ascii="仿宋_GB2312" w:hAnsi="仿宋_GB2312" w:eastAsia="仿宋_GB2312" w:cs="仿宋_GB2312"/>
          <w:sz w:val="24"/>
          <w:szCs w:val="24"/>
          <w:lang w:val="en-US" w:eastAsia="zh-CN" w:bidi="ar-SA"/>
        </w:rPr>
        <w:t>过100mm造成</w:t>
      </w:r>
      <w:r>
        <w:rPr>
          <w:rFonts w:hint="eastAsia" w:ascii="仿宋_GB2312" w:hAnsi="仿宋_GB2312" w:eastAsia="仿宋_GB2312" w:cs="仿宋_GB2312"/>
          <w:color w:val="000000"/>
          <w:sz w:val="24"/>
          <w:szCs w:val="24"/>
          <w:lang w:val="en-US" w:eastAsia="zh-CN" w:bidi="ar-SA"/>
        </w:rPr>
        <w:t>采样装置不能正常采样。</w:t>
      </w:r>
    </w:p>
    <w:p w14:paraId="4A9CB009">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车辆严重超载，毛重超过60t。</w:t>
      </w:r>
    </w:p>
    <w:p w14:paraId="1C780C33">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有分层装车现象。</w:t>
      </w:r>
    </w:p>
    <w:p w14:paraId="1F0265E1">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煤质颜色异常。</w:t>
      </w:r>
    </w:p>
    <w:p w14:paraId="340D9657">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煤场宏观验收确认煤质异常。</w:t>
      </w:r>
    </w:p>
    <w:p w14:paraId="65A463EB">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煤质发生变化，与以往同一矿点煤质明显不同。</w:t>
      </w:r>
    </w:p>
    <w:p w14:paraId="46177995">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来煤造成采样装置堵塞或宏观验收发现有煤泥。</w:t>
      </w:r>
    </w:p>
    <w:p w14:paraId="2112043F">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煤质水分过大，沿车厢滴水、沿车厢流水成线。</w:t>
      </w:r>
    </w:p>
    <w:p w14:paraId="7D7C2ED8">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ascii="宋体" w:hAnsi="Times New Roman" w:eastAsia="宋体" w:cs="Times New Roman"/>
          <w:sz w:val="24"/>
          <w:szCs w:val="24"/>
          <w:lang w:val="en-US" w:eastAsia="zh-CN" w:bidi="ar-SA"/>
        </w:rPr>
      </w:pPr>
      <w:r>
        <w:rPr>
          <w:rFonts w:hint="eastAsia" w:ascii="仿宋_GB2312" w:hAnsi="仿宋_GB2312" w:eastAsia="仿宋_GB2312" w:cs="仿宋_GB2312"/>
          <w:sz w:val="24"/>
          <w:szCs w:val="24"/>
          <w:lang w:val="en-US" w:eastAsia="zh-CN" w:bidi="ar-SA"/>
        </w:rPr>
        <w:t>其他被认定为煤质异常情况，如现场使用煤质快速分析仪检测，发现同一车煤存在热值差异大于268kcal以上时、或同一批次来煤现场检测热值差异大于268kcal以上时。</w:t>
      </w:r>
    </w:p>
    <w:p w14:paraId="1A05261C">
      <w:pPr>
        <w:keepNext w:val="0"/>
        <w:keepLines w:val="0"/>
        <w:pageBreakBefore w:val="0"/>
        <w:numPr>
          <w:ilvl w:val="1"/>
          <w:numId w:val="4"/>
        </w:numPr>
        <w:kinsoku/>
        <w:wordWrap/>
        <w:overflowPunct/>
        <w:topLinePunct w:val="0"/>
        <w:autoSpaceDE/>
        <w:autoSpaceDN/>
        <w:bidi w:val="0"/>
        <w:adjustRightInd/>
        <w:snapToGrid/>
        <w:spacing w:before="0" w:beforeLines="0" w:after="0" w:afterLines="0" w:line="240" w:lineRule="auto"/>
        <w:ind w:left="0"/>
        <w:textAlignment w:val="auto"/>
        <w:outlineLvl w:val="2"/>
        <w:rPr>
          <w:rFonts w:ascii="黑体" w:hAnsi="Times New Roman" w:eastAsia="黑体" w:cs="Times New Roman"/>
          <w:sz w:val="24"/>
          <w:szCs w:val="24"/>
          <w:lang w:val="en-US" w:eastAsia="zh-CN" w:bidi="ar-SA"/>
        </w:rPr>
      </w:pPr>
      <w:bookmarkStart w:id="44" w:name="_Toc375068389"/>
      <w:bookmarkStart w:id="45" w:name="_Toc400722689"/>
      <w:bookmarkStart w:id="46" w:name="_Toc401582510"/>
      <w:bookmarkStart w:id="47" w:name="_Toc33602264"/>
      <w:bookmarkStart w:id="48" w:name="_Toc33602446"/>
      <w:r>
        <w:rPr>
          <w:rFonts w:hint="eastAsia" w:ascii="黑体" w:hAnsi="Times New Roman" w:eastAsia="黑体" w:cs="Times New Roman"/>
          <w:sz w:val="24"/>
          <w:szCs w:val="24"/>
          <w:lang w:val="en-US" w:eastAsia="zh-CN" w:bidi="ar-SA"/>
        </w:rPr>
        <w:t>煤质异常的</w:t>
      </w:r>
      <w:bookmarkEnd w:id="44"/>
      <w:r>
        <w:rPr>
          <w:rFonts w:hint="eastAsia" w:ascii="黑体" w:hAnsi="Times New Roman" w:eastAsia="黑体" w:cs="Times New Roman"/>
          <w:sz w:val="24"/>
          <w:szCs w:val="24"/>
          <w:lang w:val="en-US" w:eastAsia="zh-CN" w:bidi="ar-SA"/>
        </w:rPr>
        <w:t>处理过程</w:t>
      </w:r>
      <w:bookmarkEnd w:id="45"/>
      <w:bookmarkEnd w:id="46"/>
      <w:bookmarkEnd w:id="47"/>
      <w:bookmarkEnd w:id="48"/>
    </w:p>
    <w:p w14:paraId="6722DF18">
      <w:pPr>
        <w:keepNext w:val="0"/>
        <w:keepLines w:val="0"/>
        <w:pageBreakBefore w:val="0"/>
        <w:widowControl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color w:val="FF0000"/>
          <w:sz w:val="24"/>
          <w:szCs w:val="24"/>
          <w:lang w:val="en-US" w:eastAsia="zh-CN" w:bidi="ar-SA"/>
        </w:rPr>
      </w:pPr>
      <w:r>
        <w:rPr>
          <w:rFonts w:hint="eastAsia" w:ascii="仿宋_GB2312" w:hAnsi="仿宋_GB2312" w:eastAsia="仿宋_GB2312" w:cs="仿宋_GB2312"/>
          <w:sz w:val="24"/>
          <w:szCs w:val="24"/>
          <w:lang w:val="en-US" w:eastAsia="zh-CN" w:bidi="ar-SA"/>
        </w:rPr>
        <w:t>汽车煤到厂后，由采样人员在现场目测宏观检查，查看煤质情况和装车高度。到卸煤沟卸煤时，由煤管人员查看过衡重量、卸车情况。对于存在煤质异常的，根据车辆掺杂使假情况按</w:t>
      </w:r>
      <w:r>
        <w:rPr>
          <w:rFonts w:hint="eastAsia" w:ascii="仿宋_GB2312" w:hAnsi="仿宋_GB2312" w:eastAsia="仿宋_GB2312" w:cs="仿宋_GB2312"/>
          <w:sz w:val="24"/>
          <w:szCs w:val="24"/>
          <w:u w:val="none"/>
          <w:lang w:val="en-US" w:eastAsia="zh-CN" w:bidi="ar-SA"/>
        </w:rPr>
        <w:t>照</w:t>
      </w:r>
      <w:r>
        <w:rPr>
          <w:rFonts w:hint="eastAsia" w:ascii="仿宋_GB2312" w:hAnsi="仿宋_GB2312" w:eastAsia="仿宋_GB2312" w:cs="仿宋_GB2312"/>
          <w:color w:val="auto"/>
          <w:sz w:val="24"/>
          <w:szCs w:val="24"/>
          <w:u w:val="none"/>
          <w:lang w:val="en-US" w:eastAsia="zh-CN" w:bidi="ar-SA"/>
        </w:rPr>
        <w:t>本规定5.3</w:t>
      </w:r>
      <w:r>
        <w:rPr>
          <w:rFonts w:hint="eastAsia" w:ascii="仿宋_GB2312" w:hAnsi="仿宋_GB2312" w:eastAsia="仿宋_GB2312" w:cs="仿宋_GB2312"/>
          <w:sz w:val="24"/>
          <w:szCs w:val="24"/>
          <w:u w:val="none"/>
          <w:lang w:val="en-US" w:eastAsia="zh-CN" w:bidi="ar-SA"/>
        </w:rPr>
        <w:t>处罚</w:t>
      </w:r>
      <w:r>
        <w:rPr>
          <w:rFonts w:hint="eastAsia" w:ascii="仿宋_GB2312" w:hAnsi="仿宋_GB2312" w:eastAsia="仿宋_GB2312" w:cs="仿宋_GB2312"/>
          <w:sz w:val="24"/>
          <w:szCs w:val="24"/>
          <w:lang w:val="en-US" w:eastAsia="zh-CN" w:bidi="ar-SA"/>
        </w:rPr>
        <w:t>标准执行。</w:t>
      </w:r>
    </w:p>
    <w:p w14:paraId="2BF9960C">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煤质异常时，采样人员或煤管人员立即向班长汇报情况，班长到现场确认后，向管理人员汇报情况，共同到现场进一步确认煤质情况。</w:t>
      </w:r>
    </w:p>
    <w:p w14:paraId="126FDB7A">
      <w:pPr>
        <w:keepNext w:val="0"/>
        <w:keepLines w:val="0"/>
        <w:pageBreakBefore w:val="0"/>
        <w:widowControl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燃料质检部宏观验收发现煤质可疑、分层装煤、铺底、明显人为掺杂使假或偷换煤行为时，由燃料质检部管理人员通知燃料物资部相关人员到场，燃料物资部通知供应商或承运商到场。当三</w:t>
      </w:r>
      <w:r>
        <w:rPr>
          <w:rFonts w:hint="eastAsia" w:ascii="仿宋_GB2312" w:hAnsi="仿宋_GB2312" w:eastAsia="仿宋_GB2312" w:cs="仿宋_GB2312"/>
          <w:color w:val="auto"/>
          <w:sz w:val="24"/>
          <w:szCs w:val="24"/>
          <w:lang w:val="en-US" w:eastAsia="zh-CN" w:bidi="ar-SA"/>
        </w:rPr>
        <w:t>方到场后由煤管人员对异常处理过程进行录像（扣吨、采样、送样过程），</w:t>
      </w:r>
      <w:r>
        <w:rPr>
          <w:rFonts w:hint="eastAsia" w:ascii="仿宋_GB2312" w:hAnsi="仿宋_GB2312" w:eastAsia="仿宋_GB2312" w:cs="仿宋_GB2312"/>
          <w:sz w:val="24"/>
          <w:szCs w:val="24"/>
          <w:lang w:val="en-US" w:eastAsia="zh-CN" w:bidi="ar-SA"/>
        </w:rPr>
        <w:t>首先由燃料质检部管理人员向燃料物资部提出扣吨意见，若三方均</w:t>
      </w:r>
      <w:r>
        <w:rPr>
          <w:rFonts w:hint="eastAsia" w:ascii="仿宋_GB2312" w:hAnsi="仿宋_GB2312" w:eastAsia="仿宋_GB2312" w:cs="仿宋_GB2312"/>
          <w:color w:val="auto"/>
          <w:sz w:val="24"/>
          <w:szCs w:val="24"/>
          <w:lang w:val="en-US" w:eastAsia="zh-CN" w:bidi="ar-SA"/>
        </w:rPr>
        <w:t>同意，则按照意见进行扣吨（当天该批次后续车辆每车均按照该意见进行扣吨，并在煤质异常处理单上三方签字确认），并对异常部分采取人工样，当市场煤人工样与机采样热值差大于268kcal/kg时，该批次均以最低热值作为结算依据，当燃料物资部和供应商或承运商人员在15分钟内未到场，则由燃料质检部管理人员进行采样，视为燃料物资部和供应商或承运商对采样过程无异议，同</w:t>
      </w:r>
      <w:r>
        <w:rPr>
          <w:rFonts w:hint="eastAsia" w:ascii="仿宋_GB2312" w:hAnsi="仿宋_GB2312" w:eastAsia="仿宋_GB2312" w:cs="仿宋_GB2312"/>
          <w:sz w:val="24"/>
          <w:szCs w:val="24"/>
          <w:lang w:val="en-US" w:eastAsia="zh-CN" w:bidi="ar-SA"/>
        </w:rPr>
        <w:t>时执行“本规定5.3相关条款进行热值结算处罚”。当燃料物资部人员无法到场，由其委托燃料质检部管理人员进行处理（燃料物资部人员后期补签字），燃料质检部管理人员可电话告知其扣吨意见，再由其与供应商或承运商协商处理，协商期间现场停止该批次接卸工作。当三方意见存在分歧时，由燃料物资部与供应商或承运商协商，协商期间燃料质检部停止接卸该批次来煤，最终协商意见仍不统一，则按《煤质异常管理规定》上限执</w:t>
      </w:r>
      <w:r>
        <w:rPr>
          <w:rFonts w:hint="eastAsia" w:ascii="仿宋_GB2312" w:hAnsi="仿宋_GB2312" w:eastAsia="仿宋_GB2312" w:cs="仿宋_GB2312"/>
          <w:color w:val="auto"/>
          <w:sz w:val="24"/>
          <w:szCs w:val="24"/>
          <w:lang w:val="en-US" w:eastAsia="zh-CN" w:bidi="ar-SA"/>
        </w:rPr>
        <w:t>行。当长协煤人工样与机采样热值差大于268kcal/kg时，由燃料质检部煤质主管通知燃料物资部相关人员，燃料物资部对煤质异常情况进行调查，根据调查结果双方部门协商处理。</w:t>
      </w:r>
    </w:p>
    <w:p w14:paraId="48BB0DA2">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在联合采样过程中，现场人员（包括供应商或承运商）必须严格遵守我厂制度和安全生产规定。</w:t>
      </w:r>
    </w:p>
    <w:p w14:paraId="7724A196">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宏观检查发现煤堆里有明显的煤质差异（颜色、颗粒度、煤种、水分等）时，重点选择车厢底部、煤质不好的位置进行检测，同时与来煤合同热值、品质较好部位的煤热值进行对比。若同一辆车来煤热值偏差小于等于268kcal时，则认为该车煤质偏差在市场煤标准的合理范围内，可直接推入卸煤沟。若偏差超过268kcal时，由燃料质检部煤管人员和监督人员在煤质异常部位进行人工取样。取样过程应在视频监控下方进行。</w:t>
      </w:r>
    </w:p>
    <w:p w14:paraId="3893B445">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夜间来煤异常时，若采样阶段发现异常，可直接办理退煤至次日白班进行处理。若卸煤过程发现异常，联系燃料质检部值班人员进行处理。为不影响当日24点统计工作，将异常煤车卸煤进行扣吨处罚后正常过衡、打印磅单出厂。扣吨按照本标准5.3.3相关条款进行。</w:t>
      </w:r>
    </w:p>
    <w:p w14:paraId="36E20E64">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对来煤中有大块煤、石块、煤泥、滴水等情况时，现场煤管人员有权按照制度进行扣吨。扣吨情况由煤管人员在《煤质异常扣吨记录本》上详细记录。在每车扣吨1吨以上时，除过填写《煤质异常扣吨记录本》，还要按照要求填写《入厂煤煤质异常处理单》。</w:t>
      </w:r>
    </w:p>
    <w:p w14:paraId="43B4EFE6">
      <w:pPr>
        <w:keepNext w:val="0"/>
        <w:keepLines w:val="0"/>
        <w:pageBreakBefore w:val="0"/>
        <w:numPr>
          <w:ilvl w:val="1"/>
          <w:numId w:val="4"/>
        </w:numPr>
        <w:kinsoku/>
        <w:wordWrap/>
        <w:overflowPunct/>
        <w:topLinePunct w:val="0"/>
        <w:autoSpaceDE/>
        <w:autoSpaceDN/>
        <w:bidi w:val="0"/>
        <w:adjustRightInd/>
        <w:snapToGrid/>
        <w:spacing w:before="0" w:beforeLines="0" w:after="0" w:afterLines="0" w:line="240" w:lineRule="auto"/>
        <w:ind w:left="0"/>
        <w:textAlignment w:val="auto"/>
        <w:outlineLvl w:val="2"/>
        <w:rPr>
          <w:rFonts w:ascii="黑体" w:hAnsi="Times New Roman" w:eastAsia="黑体" w:cs="Times New Roman"/>
          <w:sz w:val="24"/>
          <w:szCs w:val="24"/>
          <w:lang w:val="en-US" w:eastAsia="zh-CN" w:bidi="ar-SA"/>
        </w:rPr>
      </w:pPr>
      <w:r>
        <w:rPr>
          <w:rFonts w:hint="eastAsia" w:ascii="黑体" w:hAnsi="Times New Roman" w:eastAsia="黑体" w:cs="Times New Roman"/>
          <w:sz w:val="24"/>
          <w:szCs w:val="24"/>
          <w:lang w:val="en-US" w:eastAsia="zh-CN" w:bidi="ar-SA"/>
        </w:rPr>
        <w:t xml:space="preserve">处罚标准  </w:t>
      </w:r>
    </w:p>
    <w:p w14:paraId="3622B1A3">
      <w:pPr>
        <w:keepNext w:val="0"/>
        <w:keepLines w:val="0"/>
        <w:pageBreakBefore w:val="0"/>
        <w:widowControl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当来煤宏观验收发现有铺底、掺杂使假时需进行人工采样时，燃料质检部应通知燃料物资部，燃料物资部通知供应商或承运商共同到现场确认煤质情况，当燃料物资部和供应商人员无法到场，由燃料物资部委托燃料质检部管理人员进行采样（燃料物资部人员后期补签字）。采完煤样后立</w:t>
      </w:r>
      <w:r>
        <w:rPr>
          <w:rFonts w:hint="eastAsia" w:ascii="仿宋_GB2312" w:hAnsi="仿宋_GB2312" w:eastAsia="仿宋_GB2312" w:cs="仿宋_GB2312"/>
          <w:color w:val="auto"/>
          <w:sz w:val="24"/>
          <w:szCs w:val="24"/>
          <w:lang w:val="en-US" w:eastAsia="zh-CN" w:bidi="ar-SA"/>
        </w:rPr>
        <w:t>即</w:t>
      </w:r>
      <w:r>
        <w:rPr>
          <w:rFonts w:hint="eastAsia" w:ascii="仿宋_GB2312" w:hAnsi="仿宋_GB2312" w:eastAsia="仿宋_GB2312" w:cs="仿宋_GB2312"/>
          <w:sz w:val="24"/>
          <w:szCs w:val="24"/>
          <w:lang w:val="en-US" w:eastAsia="zh-CN" w:bidi="ar-SA"/>
        </w:rPr>
        <w:t>送至制样间摄像头下方保存。次日对异常批次的机采样、人工样两个样分别制样、化验。</w:t>
      </w:r>
    </w:p>
    <w:p w14:paraId="3464BA66">
      <w:pPr>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line="240" w:lineRule="auto"/>
        <w:ind w:firstLine="480" w:firstLineChars="200"/>
        <w:jc w:val="both"/>
        <w:textAlignment w:val="auto"/>
        <w:outlineLvl w:val="3"/>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当市场煤机采样与人工样热值差小于等于268kcal/kg时，该批次以机采热值作为结算依据；</w:t>
      </w:r>
    </w:p>
    <w:p w14:paraId="65845157">
      <w:pPr>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line="240" w:lineRule="auto"/>
        <w:ind w:firstLine="480" w:firstLineChars="200"/>
        <w:jc w:val="both"/>
        <w:textAlignment w:val="auto"/>
        <w:outlineLvl w:val="3"/>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color w:val="000000"/>
          <w:sz w:val="24"/>
          <w:szCs w:val="24"/>
          <w:lang w:val="en-US" w:eastAsia="zh-CN" w:bidi="ar-SA"/>
        </w:rPr>
        <w:t>当市场煤机采样与人工样热值差大于268kcal/kg时，该批次以人工样热值作为结算依据。</w:t>
      </w:r>
    </w:p>
    <w:p w14:paraId="0860CC0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firstLine="480" w:firstLineChars="200"/>
        <w:jc w:val="both"/>
        <w:textAlignment w:val="auto"/>
        <w:outlineLvl w:val="3"/>
        <w:rPr>
          <w:rFonts w:hint="eastAsia" w:ascii="仿宋_GB2312" w:hAnsi="仿宋_GB2312" w:eastAsia="仿宋_GB2312" w:cs="仿宋_GB2312"/>
          <w:color w:val="auto"/>
          <w:sz w:val="24"/>
          <w:szCs w:val="24"/>
          <w:lang w:val="en-US" w:eastAsia="zh-CN" w:bidi="ar-SA"/>
        </w:rPr>
      </w:pPr>
      <w:r>
        <w:rPr>
          <w:rFonts w:hint="eastAsia" w:ascii="仿宋_GB2312" w:hAnsi="仿宋_GB2312" w:eastAsia="仿宋_GB2312" w:cs="仿宋_GB2312"/>
          <w:color w:val="auto"/>
          <w:sz w:val="24"/>
          <w:szCs w:val="24"/>
          <w:lang w:val="en-US" w:eastAsia="zh-CN" w:bidi="ar-SA"/>
        </w:rPr>
        <w:t>当长协煤人工样与机采样热值差大于268kcal/kg时，由燃料质检部煤质主管通知燃料物资部相关人员，燃料物资部对煤质异常情况进行调查，根据调查结果双方部门协商处理。</w:t>
      </w:r>
    </w:p>
    <w:p w14:paraId="7CE93FB3">
      <w:pPr>
        <w:keepNext w:val="0"/>
        <w:keepLines w:val="0"/>
        <w:pageBreakBefore w:val="0"/>
        <w:widowControl/>
        <w:numPr>
          <w:ilvl w:val="0"/>
          <w:numId w:val="0"/>
        </w:numPr>
        <w:kinsoku/>
        <w:wordWrap/>
        <w:overflowPunct/>
        <w:topLinePunct w:val="0"/>
        <w:autoSpaceDE/>
        <w:autoSpaceDN/>
        <w:bidi w:val="0"/>
        <w:adjustRightInd/>
        <w:snapToGrid/>
        <w:spacing w:before="0" w:beforeLines="0" w:after="0" w:afterLines="0" w:line="240" w:lineRule="auto"/>
        <w:ind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制样班、化验班做好机采样、人工样的煤样留存，特别是人工样的煤样留存备查。</w:t>
      </w:r>
    </w:p>
    <w:p w14:paraId="4A115B0F">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当机采样与人工样热值差大于268kcal/kg，由煤质主管启动入厂煤热值异常流程，入厂煤热值异常处理单由燃料质检部主任审核，主管厂领导批准。</w:t>
      </w:r>
    </w:p>
    <w:p w14:paraId="41D10C4F">
      <w:pPr>
        <w:keepNext w:val="0"/>
        <w:keepLines w:val="0"/>
        <w:pageBreakBefore w:val="0"/>
        <w:widowControl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color w:val="auto"/>
          <w:sz w:val="24"/>
          <w:szCs w:val="24"/>
          <w:lang w:val="en-US" w:eastAsia="zh-CN" w:bidi="ar-SA"/>
        </w:rPr>
        <w:t>燃料质检部对新竞价入厂的市场煤进行机采样和人工采样（随机抽取该批次某一车进行人工采样），当其中任一化验热值低于合同值268kcal/kg或干基硫分超出合同规定值时，提</w:t>
      </w:r>
      <w:r>
        <w:rPr>
          <w:rFonts w:hint="eastAsia" w:ascii="仿宋_GB2312" w:hAnsi="仿宋_GB2312" w:eastAsia="仿宋_GB2312" w:cs="仿宋_GB2312"/>
          <w:sz w:val="24"/>
          <w:szCs w:val="24"/>
          <w:lang w:val="en-US" w:eastAsia="zh-CN" w:bidi="ar-SA"/>
        </w:rPr>
        <w:t>醒燃料物资部对该供应商或承运商警告一次；当该合同执行期内发生第三次机采样和人工随机采样任一化验热值再次低于合同值268kcal/kg时或干基硫分超出合同规定值时，在同一合同期限内燃料质检部拒绝接收该批次煤（三方到位及执行过程的相关要求按“5.2煤质异常处理过程执行”）。若机采样和人工随机采样任一化验热值低于合同值500kcal/kg时，燃料质检部有权拒绝接卸该合同后续来煤。</w:t>
      </w:r>
    </w:p>
    <w:p w14:paraId="732643BC">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特殊情况下需要扣吨时，扣吨依据为：当车辆铺底小于1/10时，扣吨0.1-5吨/车；当车辆铺底达到1/10-1/5时（不包含1/5），扣吨5-10吨/车；当车辆铺底达到1/5-1/4时（不包含1/4），扣吨10-15吨/车；当车辆铺底达到1/4-1/3时（不包含1/3），吨15-20吨/车；当车辆铺底达到或超过1/3时整车没收。</w:t>
      </w:r>
    </w:p>
    <w:p w14:paraId="31DC16AC">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出现煤质异常情况，做扣吨处理时，煤管人员和监督人员做好现场影像资料与相关资料收集，煤场主管统一保存3个月。</w:t>
      </w:r>
    </w:p>
    <w:p w14:paraId="19103BF2">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若因特殊情况必须退煤时，由煤管人员填写《退煤处理申请单》，经部门同意，主管领导签字审批后才可办理退煤操作。</w:t>
      </w:r>
    </w:p>
    <w:p w14:paraId="148A3701">
      <w:pPr>
        <w:keepNext w:val="0"/>
        <w:keepLines w:val="0"/>
        <w:pageBreakBefore w:val="0"/>
        <w:numPr>
          <w:ilvl w:val="1"/>
          <w:numId w:val="4"/>
        </w:numPr>
        <w:kinsoku/>
        <w:wordWrap/>
        <w:overflowPunct/>
        <w:topLinePunct w:val="0"/>
        <w:autoSpaceDE/>
        <w:autoSpaceDN/>
        <w:bidi w:val="0"/>
        <w:adjustRightInd/>
        <w:snapToGrid/>
        <w:spacing w:before="0" w:beforeLines="0" w:after="0" w:afterLines="0" w:line="240" w:lineRule="auto"/>
        <w:ind w:left="0"/>
        <w:textAlignment w:val="auto"/>
        <w:outlineLvl w:val="2"/>
        <w:rPr>
          <w:rFonts w:ascii="黑体" w:hAnsi="Times New Roman" w:eastAsia="黑体" w:cs="Times New Roman"/>
          <w:sz w:val="24"/>
          <w:szCs w:val="24"/>
          <w:lang w:val="en-US" w:eastAsia="zh-CN" w:bidi="ar-SA"/>
        </w:rPr>
      </w:pPr>
      <w:bookmarkStart w:id="49" w:name="_Toc375068391"/>
      <w:bookmarkStart w:id="50" w:name="_Toc400722691"/>
      <w:bookmarkStart w:id="51" w:name="_Toc401582512"/>
      <w:bookmarkStart w:id="52" w:name="_Toc33602448"/>
      <w:bookmarkStart w:id="53" w:name="_Toc33602266"/>
      <w:r>
        <w:rPr>
          <w:rFonts w:hint="eastAsia" w:ascii="黑体" w:hAnsi="Times New Roman" w:eastAsia="黑体" w:cs="Times New Roman"/>
          <w:sz w:val="24"/>
          <w:szCs w:val="24"/>
          <w:lang w:val="en-US" w:eastAsia="zh-CN" w:bidi="ar-SA"/>
        </w:rPr>
        <w:t>入厂煤</w:t>
      </w:r>
      <w:bookmarkEnd w:id="49"/>
      <w:bookmarkEnd w:id="50"/>
      <w:r>
        <w:rPr>
          <w:rFonts w:hint="eastAsia" w:ascii="黑体" w:hAnsi="Times New Roman" w:eastAsia="黑体" w:cs="Times New Roman"/>
          <w:sz w:val="24"/>
          <w:szCs w:val="24"/>
          <w:lang w:val="en-US" w:eastAsia="zh-CN" w:bidi="ar-SA"/>
        </w:rPr>
        <w:t>煤质检查</w:t>
      </w:r>
      <w:bookmarkEnd w:id="51"/>
      <w:bookmarkEnd w:id="52"/>
      <w:bookmarkEnd w:id="53"/>
    </w:p>
    <w:p w14:paraId="39BBDFA3">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含矸量检查：</w:t>
      </w:r>
    </w:p>
    <w:p w14:paraId="44B8A938">
      <w:pPr>
        <w:pStyle w:val="15"/>
        <w:keepNext w:val="0"/>
        <w:keepLines w:val="0"/>
        <w:pageBreakBefore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入厂汽车煤中含矸量较大时，对异常部位进行人工采样。</w:t>
      </w:r>
    </w:p>
    <w:p w14:paraId="266C5FD7">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杂物检查：</w:t>
      </w:r>
    </w:p>
    <w:p w14:paraId="0946E708">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.4.2.1入厂汽车煤中不应含有杂物（矸石以外的其他非原煤物体），对于含有杂物的车辆应责令司机清理带出煤场，同时根据杂物多少进行扣吨处理。</w:t>
      </w:r>
    </w:p>
    <w:p w14:paraId="2D61EDF9">
      <w:pPr>
        <w:pStyle w:val="15"/>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.4.2.2含木块、铁丝、砖头、泥块等杂物每发现一处扣除0.1吨。</w:t>
      </w:r>
    </w:p>
    <w:p w14:paraId="0362C413">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含水量检查：</w:t>
      </w:r>
    </w:p>
    <w:p w14:paraId="57102D2B">
      <w:pPr>
        <w:pStyle w:val="15"/>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.4.3.1入厂煤车有滴水现象扣除0.1吨/处，有滴水成线扣除0.2吨/处。</w:t>
      </w:r>
    </w:p>
    <w:p w14:paraId="15339E52">
      <w:pPr>
        <w:pStyle w:val="15"/>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.4.3.2对于人为掺水车辆，视情况1-5吨。</w:t>
      </w:r>
    </w:p>
    <w:p w14:paraId="54F133F9">
      <w:pPr>
        <w:pStyle w:val="15"/>
        <w:keepNext w:val="0"/>
        <w:keepLines w:val="0"/>
        <w:pageBreakBefore w:val="0"/>
        <w:numPr>
          <w:ilvl w:val="0"/>
          <w:numId w:val="0"/>
        </w:numPr>
        <w:kinsoku/>
        <w:wordWrap/>
        <w:overflowPunct/>
        <w:topLinePunct w:val="0"/>
        <w:autoSpaceDE/>
        <w:autoSpaceDN/>
        <w:bidi w:val="0"/>
        <w:adjustRightInd/>
        <w:snapToGrid/>
        <w:spacing w:line="240" w:lineRule="auto"/>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w:t>
      </w:r>
      <w:r>
        <w:rPr>
          <w:rFonts w:hint="eastAsia" w:ascii="仿宋_GB2312" w:hAnsi="仿宋_GB2312" w:eastAsia="仿宋_GB2312" w:cs="仿宋_GB2312"/>
          <w:sz w:val="24"/>
          <w:szCs w:val="24"/>
        </w:rPr>
        <w:t>.4.3.3煤车在煤场内被发现恶意放水，扣除10吨，并将责任车辆纳入黑名单。</w:t>
      </w:r>
    </w:p>
    <w:p w14:paraId="1A8794AB">
      <w:pPr>
        <w:keepNext w:val="0"/>
        <w:keepLines w:val="0"/>
        <w:pageBreakBefore w:val="0"/>
        <w:numPr>
          <w:ilvl w:val="2"/>
          <w:numId w:val="4"/>
        </w:numPr>
        <w:kinsoku/>
        <w:wordWrap/>
        <w:overflowPunct/>
        <w:topLinePunct w:val="0"/>
        <w:autoSpaceDE/>
        <w:autoSpaceDN/>
        <w:bidi w:val="0"/>
        <w:adjustRightInd/>
        <w:snapToGrid/>
        <w:spacing w:before="0" w:beforeLines="0" w:after="0" w:afterLines="0" w:line="240" w:lineRule="auto"/>
        <w:ind w:left="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规定煤场扣吨权限如下：班员1吨及以下；副班长1吨至3吨及以下；主管5吨及以下；主任15吨及以下，超过15吨以上汇报主管厂领导。</w:t>
      </w:r>
    </w:p>
    <w:bookmarkEnd w:id="43"/>
    <w:p w14:paraId="41F70DC2">
      <w:pPr>
        <w:rPr>
          <w:rFonts w:hint="eastAsia" w:ascii="宋体" w:hAnsi="宋体"/>
          <w:b/>
          <w:sz w:val="24"/>
          <w:szCs w:val="24"/>
        </w:rPr>
      </w:pPr>
    </w:p>
    <w:p w14:paraId="0753901C">
      <w:pPr>
        <w:rPr>
          <w:rFonts w:hint="eastAsia" w:ascii="宋体" w:hAnsi="宋体"/>
          <w:b/>
          <w:sz w:val="24"/>
          <w:szCs w:val="24"/>
        </w:rPr>
      </w:pPr>
    </w:p>
    <w:p w14:paraId="5F981526">
      <w:pPr>
        <w:rPr>
          <w:rFonts w:hint="eastAsia" w:ascii="宋体" w:hAnsi="宋体"/>
          <w:b/>
          <w:sz w:val="24"/>
          <w:szCs w:val="24"/>
        </w:rPr>
      </w:pPr>
    </w:p>
    <w:p w14:paraId="08F4F416">
      <w:pPr>
        <w:jc w:val="both"/>
        <w:rPr>
          <w:rFonts w:hint="eastAsia" w:ascii="宋体" w:hAnsi="宋体"/>
          <w:b/>
          <w:sz w:val="24"/>
          <w:szCs w:val="24"/>
          <w:lang w:val="en-US" w:eastAsia="zh-CN"/>
        </w:rPr>
      </w:pPr>
      <w:r>
        <w:rPr>
          <w:rFonts w:hint="eastAsia" w:ascii="宋体" w:hAnsi="宋体"/>
          <w:b/>
          <w:sz w:val="24"/>
          <w:szCs w:val="24"/>
          <w:lang w:val="en-US" w:eastAsia="zh-CN"/>
        </w:rPr>
        <w:t>附件2：大唐延安热电厂煤场管理规定</w:t>
      </w:r>
    </w:p>
    <w:p w14:paraId="6FC59F50">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以下情况，由燃料质检部按照本标准提出考核意见：</w:t>
      </w:r>
    </w:p>
    <w:p w14:paraId="3D5FED83">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煤场区域的所有通行车辆均严禁超速行驶（5km/h），并依序排队，严禁超车插队，发现一次扣0.1吨；发生推搡、辱骂、威胁、不服从现场人员管理的行为，发现一次扣0.5吨；情节严重者，将车辆扣压至现场等候处理。以上情况除按规定进行扣吨处理外，同时将车辆拉黑。凡是超速的非运煤车辆，汇报部门主管通知责任部门按照1000元/次考核。厂内吸尘车、装载机发生超速按照部门内部管理规定执行。</w:t>
      </w:r>
    </w:p>
    <w:p w14:paraId="5CF6091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2.运煤司机在厂区内未佩戴安全帽、未穿戴反光背心，发现一次扣0.5吨，考核燃料物资部200元，责成燃料物资部考核承运商；安全帽佩戴和反光背心穿戴不规范，发现一次扣0.3吨，考核燃料物资部100元，责成燃料物资部考核承运商。以上情况除按规定进行扣吨处理外，同时将车辆拉黑并通知燃料物资部告知承运商。</w:t>
      </w:r>
    </w:p>
    <w:p w14:paraId="43DCB61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3.运煤车辆进入厂区车内只允许司机1人，每多一人扣0.3吨。将车辆拉入黑名单并通知燃料物资部告知承运商。</w:t>
      </w:r>
    </w:p>
    <w:p w14:paraId="0333EC6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4.拉运车辆损坏厂内设施设备和构建筑物及附属设施，由燃料质检部通知车辆所属合同签订部门到现场与司机商议赔偿事宜并修复，且由合同签订部门落实对承运商至少2000元考核。</w:t>
      </w:r>
    </w:p>
    <w:p w14:paraId="363CB14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5.煤车卸煤后应在煤场清理车厢余煤，在煤场道路上清理余煤或车厢未放到位离开卸煤沟的车辆，发现一次扣0.2吨。将车辆拉入黑名单并通知燃料物资部告知承运商。</w:t>
      </w:r>
    </w:p>
    <w:p w14:paraId="744189D0">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6.运煤车辆发生其他等违章行为，视现场情况进行扣吨。</w:t>
      </w:r>
    </w:p>
    <w:p w14:paraId="49E6D6A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7.严禁煤场发生运煤车辆未过重衡卸煤或未过轻衡出厂或运煤车辆过轻衡“跳磅”，如果发生上述情况，燃料质检部应严肃处理责任司机及承运商。按照本标准提出考核：</w:t>
      </w:r>
    </w:p>
    <w:p w14:paraId="0DFBDAC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7.1未过重衡处理：</w:t>
      </w:r>
    </w:p>
    <w:p w14:paraId="6453409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7.1.1运煤车辆未按照规定流程，完成过重衡计量步序或未过重衡，直接到卸煤沟卸煤的运输车辆，按照《中国大唐集团有限公司煤炭检测管理规定》</w:t>
      </w:r>
      <w:bookmarkStart w:id="54" w:name="_Hlk125099182"/>
      <w:r>
        <w:rPr>
          <w:rFonts w:hint="eastAsia" w:ascii="仿宋_GB2312" w:hAnsi="仿宋_GB2312" w:eastAsia="仿宋_GB2312" w:cs="仿宋_GB2312"/>
          <w:sz w:val="24"/>
          <w:szCs w:val="24"/>
          <w:lang w:val="en-US" w:eastAsia="zh-CN" w:bidi="ar-SA"/>
        </w:rPr>
        <w:t>中煤炭检测管理技术要求</w:t>
      </w:r>
      <w:bookmarkEnd w:id="54"/>
      <w:r>
        <w:rPr>
          <w:rFonts w:hint="eastAsia" w:ascii="仿宋_GB2312" w:hAnsi="仿宋_GB2312" w:eastAsia="仿宋_GB2312" w:cs="仿宋_GB2312"/>
          <w:sz w:val="24"/>
          <w:szCs w:val="24"/>
          <w:lang w:val="en-US" w:eastAsia="zh-CN" w:bidi="ar-SA"/>
        </w:rPr>
        <w:t>规定，燃料质检部应对未按规定流程，完成过重衡计量步序或未过重衡，直接到卸煤沟卸煤的运输车辆，采取全车扣罚的处理方法，任何人不得以任何理由，干预计量数据。</w:t>
      </w:r>
    </w:p>
    <w:p w14:paraId="3895AD3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7.1.2运煤车辆过完重衡卸车前，由煤管员确认PDA是否有该车辆信息，待PDA有该车信息后再进行卸车。如发生无信息卸车，考核当班煤管值班员200-500元/次。</w:t>
      </w:r>
    </w:p>
    <w:p w14:paraId="1B1FE84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7.1.3由燃料质检部当班煤管人员负责确认未过重衡车辆，及时汇报煤场主管、数字燃料专工和主任。由煤场主管负责填写燃料接卸异常处理申请单，并执行扣罚处理。</w:t>
      </w:r>
    </w:p>
    <w:p w14:paraId="1379357A">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7.2未过轻衡处理：</w:t>
      </w:r>
    </w:p>
    <w:p w14:paraId="5B060AE0">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7.2.1运煤车辆未按照规定流程，完成过轻衡计量步序或未过轻衡，直接出厂的运输车辆，按照《中国大唐集团有限公司煤炭检测管理规定》中煤炭检测管理技术要求规定，基层企业采购检斤率要达到100%的要求：对未按照规定流程，完成过轻衡计量步序或未过轻衡，直接出厂的运输车辆，采取全车扣罚的处理方法，任何人不得以任何理由，干预计量数据。</w:t>
      </w:r>
    </w:p>
    <w:p w14:paraId="0D901677">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7.3车辆跳磅处理：</w:t>
      </w:r>
    </w:p>
    <w:p w14:paraId="42A25A8F">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7.3.1当运煤车辆在除皮过轻衡时发生跳磅，及时发现后，立即扣车，根据跳磅吨位的2倍进行扣吨。</w:t>
      </w:r>
    </w:p>
    <w:p w14:paraId="40238E49">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7.3.2当运煤车辆在除皮过轻衡时发生跳磅，未及时发现时，待车辆再次来厂后，根据跳磅吨位的2倍进行扣吨。</w:t>
      </w:r>
    </w:p>
    <w:p w14:paraId="6A80F4DA">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7.3.3对跳轻磅的运煤车辆，不同意按照《大唐延安热电厂煤场管理规定》进行扣吨处理者，煤管人员可直接进行扣吨处理，并将车辆拉入黑名单者。</w:t>
      </w:r>
    </w:p>
    <w:p w14:paraId="6193DC8F">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7.4跳磅处理流程：</w:t>
      </w:r>
    </w:p>
    <w:p w14:paraId="6A868296">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7.4.1对及时发现的跳磅的车辆，立即扣车，重新过轻衡，根据两次过轻衡的重量差值，作为扣吨依据，按照两倍扣吨处罚。</w:t>
      </w:r>
    </w:p>
    <w:p w14:paraId="0881FFC6">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7.4.2对未及时发现的跳磅的车辆，当跳磅车辆再次到厂卸完煤后，将跳磅车辆扣留，过轻衡（注意此时车辆仍在卸煤状态），测量跳磅车辆皮重。测量皮重减去跳磅时的皮重，作为扣吨依据，按照两倍扣吨处罚。</w:t>
      </w:r>
    </w:p>
    <w:p w14:paraId="14D9A1D7">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7.4.3当测量皮重大于跳磅时皮重的车辆，不予扣吨处理。</w:t>
      </w:r>
    </w:p>
    <w:p w14:paraId="204541E3">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7.5跳磅处理的奖励与处罚：</w:t>
      </w:r>
    </w:p>
    <w:p w14:paraId="5BF0775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7.5.1每发现并处罚跳磅车辆一辆，视情况奖励300-500元，由数字燃料主管执行奖励手续。发现人员奖励50%，处理人员奖励30%，监督人员（核查人员）奖励20%。</w:t>
      </w:r>
    </w:p>
    <w:p w14:paraId="1249F4FE">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7.5.2由监督人员（核查人员）确认，对跳磅车辆已扣吨处罚后，方可进行奖励。</w:t>
      </w:r>
    </w:p>
    <w:p w14:paraId="5FDFA06C">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7.5.3煤管人员（处理人员）每班核对跳磅处理统计表，对跳磅车辆按照制度进行扣吨处理。需要扣吨车辆到厂后，对未及时处理跳磅车辆的班组，每车考核30元。</w:t>
      </w:r>
    </w:p>
    <w:p w14:paraId="578426FB">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8.运煤车辆卸完煤，为了确保不发生因液压系统故障造成司机的人身伤害，要求司机必须在车厢门打开一侧进行清理，不许在液压管一侧清理，严禁站在轮胎上清理，严禁司机使用移位杆，煤管人员认真监督落实，杜绝清理粘煤时司机的不安全行为。发现一次扣0.2吨。将车辆拉入黑名单并通知燃料物资部告知承运商。</w:t>
      </w:r>
    </w:p>
    <w:p w14:paraId="74878569">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9.所有出厂车辆必须经过洗车机，北门保安登记所有不过洗车机和退回重新清洗的车辆，将车辆拉入黑名单并通知燃料物资部告知承运商，非运煤车辆告知责任部门进行处罚。</w:t>
      </w:r>
    </w:p>
    <w:p w14:paraId="332A0F56">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10.燃料质检部所辖区域所有人员发现以上不安全行为（反违章“十条禁令”严格执行和监督），及时拍照发群里并汇报相应主管，需要扣吨的通知煤管落实。</w:t>
      </w:r>
    </w:p>
    <w:p w14:paraId="1C666425">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p>
    <w:p w14:paraId="02F7A402">
      <w:pPr>
        <w:jc w:val="both"/>
        <w:rPr>
          <w:rFonts w:hint="eastAsia" w:ascii="宋体" w:hAnsi="宋体"/>
          <w:b/>
          <w:sz w:val="24"/>
          <w:szCs w:val="24"/>
          <w:lang w:val="en-US" w:eastAsia="zh-CN"/>
        </w:rPr>
      </w:pPr>
      <w:r>
        <w:rPr>
          <w:rFonts w:hint="eastAsia" w:ascii="宋体" w:hAnsi="宋体"/>
          <w:b/>
          <w:sz w:val="24"/>
          <w:szCs w:val="24"/>
          <w:lang w:val="en-US" w:eastAsia="zh-CN"/>
        </w:rPr>
        <w:t>附件3：煤场、卸煤沟人车分离规定</w:t>
      </w:r>
    </w:p>
    <w:p w14:paraId="53600C7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第一条  煤场人车分离规定</w:t>
      </w:r>
    </w:p>
    <w:p w14:paraId="7947116A">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1.严禁无关人员私自进入煤场接卸区域，若因工作需要进入时，须经煤管同意后方可按照指定区域活动。</w:t>
      </w:r>
    </w:p>
    <w:p w14:paraId="4887CC80">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2.装载机、推煤机启动前必须确认警示灯、刹车、照明灯和倒车喇叭正常后方可使用，一切作业听从指挥人员调度。</w:t>
      </w:r>
    </w:p>
    <w:p w14:paraId="7486A6A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3.作业人员进入煤场必须穿反光背心或反光条、穿劳保鞋、戴安全帽。</w:t>
      </w:r>
    </w:p>
    <w:p w14:paraId="0CB5568F">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4.人员严格按人车分离标识走动，煤道行车时严禁人员通行。</w:t>
      </w:r>
    </w:p>
    <w:p w14:paraId="28ED1277">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5.车辆进入或驶离煤场，必须先鸣笛、打转向灯，确认安全后方可行驶。</w:t>
      </w:r>
    </w:p>
    <w:p w14:paraId="0A22018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6.车辆行驶速度不能超过5公里/小时。</w:t>
      </w:r>
    </w:p>
    <w:p w14:paraId="6C0BF1CC">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7.推煤机整形作业与斗轮机取煤，不得在斗轮机行进轨道同一侧。确需在同一侧同时作业时，要有专人指挥，保持推煤机作业与斗轮机堆取煤的距离大于10米。</w:t>
      </w:r>
    </w:p>
    <w:p w14:paraId="4FFC0D7F">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8.进入煤场的运煤车辆，除司机外禁止有跟车人员。</w:t>
      </w:r>
    </w:p>
    <w:p w14:paraId="2694082D">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9.禁止运煤车辆边走边卸。</w:t>
      </w:r>
    </w:p>
    <w:p w14:paraId="7CD8C5FE">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10.禁止未采取有效措施清理车辆积煤。</w:t>
      </w:r>
    </w:p>
    <w:p w14:paraId="5E10A439">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11.禁止推煤机采用钢丝绳拖拽运煤车辆。</w:t>
      </w:r>
    </w:p>
    <w:p w14:paraId="68FC1489">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12.人工采样时，停止人工采样区域内一切作业，等采样结束后，所有人员撤离工作现场后，方可继续卸煤作业。</w:t>
      </w:r>
    </w:p>
    <w:p w14:paraId="226CEB68">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13.推煤机 、装载机、工作时应和运煤车辆及人员保持3米以上的安全距离，移动时鸣笛提醒无关人员及车辆立即离开工作区。</w:t>
      </w:r>
    </w:p>
    <w:p w14:paraId="3A2C833B">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第二条  卸煤沟人车分离规定</w:t>
      </w:r>
    </w:p>
    <w:p w14:paraId="5E0AE7FE">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1.严禁无关人员私自进入卸煤沟。若因工作需要进入时，须经指挥人员同意后方可在指定区域活动。</w:t>
      </w:r>
    </w:p>
    <w:p w14:paraId="0669E287">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2.严禁无关车辆私自进入卸煤沟。若因工作需要进入时，须经指挥人员同意，方可按照指定路线行使和指定位置停靠。</w:t>
      </w:r>
    </w:p>
    <w:p w14:paraId="24D7EDBC">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3.装载机和推煤机启动前必须确认倒警示灯、刹车、照明灯和倒车喇叭正常后方可使用，一切作业听从指挥人员调度。</w:t>
      </w:r>
    </w:p>
    <w:p w14:paraId="18A27135">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4.作业人员、车辆严格按照卸煤沟功能区域分布图进行作业，指挥人员在煤场接卸指挥区域活动，煤车、装载机和推煤机在指定区域作业，推煤机和装载机不作业时在指定区域停靠。</w:t>
      </w:r>
    </w:p>
    <w:p w14:paraId="4284A57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5.作业人员进入卸煤沟必须穿反光背心或反光条、穿劳保鞋、戴安全帽。</w:t>
      </w:r>
    </w:p>
    <w:p w14:paraId="4BDD43C4">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6.所有人员严格按人车分离标识走动，严禁强行跨越硬隔离带。</w:t>
      </w:r>
    </w:p>
    <w:p w14:paraId="1C855B43">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7.车辆进入或驶离卸煤沟，必须先鸣笛、打转向灯，确认安全后方可行驶。</w:t>
      </w:r>
    </w:p>
    <w:p w14:paraId="04AB6A01">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8.所有车辆行驶速度不能超过5公里/小时。</w:t>
      </w:r>
    </w:p>
    <w:p w14:paraId="5ED3A2EB">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9.严禁人员在推煤机和装载机作业半径内活动。</w:t>
      </w:r>
    </w:p>
    <w:p w14:paraId="0580B1DE">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240" w:lineRule="auto"/>
        <w:ind w:leftChars="0" w:firstLine="480" w:firstLineChars="200"/>
        <w:jc w:val="both"/>
        <w:textAlignment w:val="auto"/>
        <w:outlineLvl w:val="3"/>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10.人工采样时，停止人工采样区域内一切作业，等采样结束后，所有人员撤离工作现场后，方可继续卸煤作业。</w:t>
      </w:r>
    </w:p>
    <w:p w14:paraId="02C4B62F">
      <w:pPr>
        <w:keepNext w:val="0"/>
        <w:keepLines w:val="0"/>
        <w:pageBreakBefore w:val="0"/>
        <w:widowControl w:val="0"/>
        <w:kinsoku/>
        <w:wordWrap/>
        <w:overflowPunct/>
        <w:topLinePunct w:val="0"/>
        <w:autoSpaceDE/>
        <w:autoSpaceDN/>
        <w:bidi w:val="0"/>
        <w:adjustRightInd/>
        <w:snapToGrid/>
        <w:ind w:firstLine="482" w:firstLineChars="200"/>
        <w:jc w:val="center"/>
        <w:textAlignment w:val="auto"/>
        <w:rPr>
          <w:rFonts w:hint="default" w:ascii="宋体" w:hAnsi="宋体"/>
          <w:b/>
          <w:sz w:val="24"/>
          <w:szCs w:val="24"/>
          <w:lang w:val="en-US" w:eastAsia="zh-CN"/>
        </w:rPr>
      </w:pPr>
    </w:p>
    <w:p w14:paraId="021408B6">
      <w:pPr>
        <w:keepNext w:val="0"/>
        <w:keepLines w:val="0"/>
        <w:pageBreakBefore w:val="0"/>
        <w:widowControl w:val="0"/>
        <w:kinsoku/>
        <w:wordWrap/>
        <w:overflowPunct/>
        <w:topLinePunct w:val="0"/>
        <w:autoSpaceDE/>
        <w:autoSpaceDN/>
        <w:bidi w:val="0"/>
        <w:adjustRightInd/>
        <w:snapToGrid/>
        <w:ind w:firstLine="482" w:firstLineChars="200"/>
        <w:jc w:val="center"/>
        <w:textAlignment w:val="auto"/>
        <w:rPr>
          <w:rFonts w:hint="default" w:ascii="宋体" w:hAnsi="宋体"/>
          <w:b/>
          <w:sz w:val="24"/>
          <w:szCs w:val="24"/>
          <w:lang w:val="en-US" w:eastAsia="zh-CN"/>
        </w:rPr>
      </w:pPr>
    </w:p>
    <w:p w14:paraId="543695A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24"/>
          <w:szCs w:val="24"/>
          <w:lang w:val="en-US" w:eastAsia="zh-CN"/>
        </w:rPr>
      </w:pPr>
      <w:r>
        <w:rPr>
          <w:rFonts w:hint="eastAsia" w:ascii="宋体" w:hAnsi="宋体"/>
          <w:b/>
          <w:sz w:val="24"/>
          <w:szCs w:val="24"/>
        </w:rPr>
        <w:t>附件</w:t>
      </w:r>
      <w:r>
        <w:rPr>
          <w:rFonts w:hint="eastAsia" w:ascii="宋体" w:hAnsi="宋体"/>
          <w:b/>
          <w:sz w:val="24"/>
          <w:szCs w:val="24"/>
          <w:lang w:val="en-US" w:eastAsia="zh-CN"/>
        </w:rPr>
        <w:t>4</w:t>
      </w:r>
      <w:r>
        <w:rPr>
          <w:rFonts w:hint="eastAsia" w:ascii="宋体" w:hAnsi="宋体"/>
          <w:b/>
          <w:sz w:val="24"/>
          <w:szCs w:val="24"/>
        </w:rPr>
        <w:t>：</w:t>
      </w:r>
      <w:bookmarkStart w:id="55" w:name="_Toc1163582167"/>
      <w:r>
        <w:rPr>
          <w:rFonts w:hint="eastAsia" w:ascii="方正小标宋简体" w:hAnsi="方正小标宋简体" w:eastAsia="方正小标宋简体" w:cs="方正小标宋简体"/>
          <w:color w:val="auto"/>
          <w:sz w:val="24"/>
          <w:szCs w:val="24"/>
          <w:lang w:val="en-US" w:eastAsia="zh-CN"/>
        </w:rPr>
        <w:t>大唐陕西发电有限公司延安热电厂燃料供应商</w:t>
      </w:r>
      <w:bookmarkEnd w:id="55"/>
      <w:r>
        <w:rPr>
          <w:rFonts w:hint="eastAsia" w:ascii="方正小标宋简体" w:hAnsi="方正小标宋简体" w:eastAsia="方正小标宋简体" w:cs="方正小标宋简体"/>
          <w:color w:val="auto"/>
          <w:sz w:val="24"/>
          <w:szCs w:val="24"/>
          <w:lang w:val="en-US" w:eastAsia="zh-CN"/>
        </w:rPr>
        <w:t>管理实施细则</w:t>
      </w:r>
    </w:p>
    <w:p w14:paraId="06E852C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简体" w:hAnsi="方正小标宋简体" w:eastAsia="方正小标宋简体" w:cs="方正小标宋简体"/>
          <w:color w:val="auto"/>
          <w:sz w:val="24"/>
          <w:szCs w:val="24"/>
          <w:lang w:val="en-US" w:eastAsia="zh-CN"/>
        </w:rPr>
      </w:pPr>
    </w:p>
    <w:p w14:paraId="5C924536">
      <w:pPr>
        <w:pageBreakBefore w:val="0"/>
        <w:widowControl w:val="0"/>
        <w:numPr>
          <w:ilvl w:val="0"/>
          <w:numId w:val="6"/>
        </w:numPr>
        <w:kinsoku/>
        <w:wordWrap/>
        <w:overflowPunct/>
        <w:topLinePunct w:val="0"/>
        <w:autoSpaceDE/>
        <w:autoSpaceDN/>
        <w:bidi w:val="0"/>
        <w:spacing w:line="240" w:lineRule="auto"/>
        <w:jc w:val="center"/>
        <w:rPr>
          <w:rFonts w:hint="eastAsia" w:ascii="黑体" w:hAnsi="黑体" w:eastAsia="黑体" w:cs="黑体"/>
          <w:b/>
          <w:bCs/>
          <w:sz w:val="24"/>
          <w:szCs w:val="24"/>
          <w:highlight w:val="none"/>
          <w:lang w:val="en-US" w:eastAsia="zh-CN"/>
        </w:rPr>
      </w:pPr>
      <w:bookmarkStart w:id="56" w:name="_Toc1339391187"/>
      <w:bookmarkStart w:id="57" w:name="_Toc1983505977"/>
      <w:bookmarkStart w:id="58" w:name="_Toc1070249897"/>
      <w:bookmarkStart w:id="59" w:name="_Toc2046903947"/>
      <w:r>
        <w:rPr>
          <w:rFonts w:hint="eastAsia" w:ascii="黑体" w:hAnsi="黑体" w:eastAsia="黑体" w:cs="黑体"/>
          <w:b/>
          <w:bCs/>
          <w:sz w:val="24"/>
          <w:szCs w:val="24"/>
          <w:highlight w:val="none"/>
          <w:lang w:val="en-US" w:eastAsia="zh-CN"/>
        </w:rPr>
        <w:t>总 则</w:t>
      </w:r>
      <w:bookmarkEnd w:id="56"/>
      <w:bookmarkEnd w:id="57"/>
      <w:bookmarkEnd w:id="58"/>
      <w:bookmarkEnd w:id="59"/>
    </w:p>
    <w:p w14:paraId="30AA9FA0">
      <w:pPr>
        <w:pageBreakBefore w:val="0"/>
        <w:widowControl w:val="0"/>
        <w:numPr>
          <w:ilvl w:val="0"/>
          <w:numId w:val="0"/>
        </w:numPr>
        <w:kinsoku/>
        <w:wordWrap/>
        <w:overflowPunct/>
        <w:topLinePunct w:val="0"/>
        <w:autoSpaceDE/>
        <w:autoSpaceDN/>
        <w:bidi w:val="0"/>
        <w:spacing w:line="240" w:lineRule="auto"/>
        <w:jc w:val="both"/>
        <w:rPr>
          <w:rFonts w:hint="default" w:ascii="黑体" w:hAnsi="黑体" w:eastAsia="黑体" w:cs="黑体"/>
          <w:sz w:val="24"/>
          <w:szCs w:val="24"/>
          <w:highlight w:val="none"/>
          <w:lang w:val="en-US" w:eastAsia="zh-CN"/>
        </w:rPr>
      </w:pPr>
    </w:p>
    <w:p w14:paraId="1ECC94A8">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仿宋_GB2312" w:eastAsia="仿宋_GB2312" w:cs="仿宋_GB2312"/>
          <w:color w:val="auto"/>
          <w:sz w:val="24"/>
          <w:szCs w:val="24"/>
        </w:rPr>
      </w:pPr>
      <w:r>
        <w:rPr>
          <w:rFonts w:ascii="黑体" w:hAnsi="黑体" w:eastAsia="黑体"/>
          <w:snapToGrid w:val="0"/>
          <w:color w:val="auto"/>
          <w:kern w:val="0"/>
          <w:sz w:val="24"/>
          <w:szCs w:val="24"/>
        </w:rPr>
        <w:t>第一条</w:t>
      </w:r>
      <w:r>
        <w:rPr>
          <w:rFonts w:hint="eastAsia" w:ascii="黑体" w:hAnsi="黑体" w:eastAsia="黑体"/>
          <w:snapToGrid w:val="0"/>
          <w:color w:val="auto"/>
          <w:kern w:val="0"/>
          <w:sz w:val="24"/>
          <w:szCs w:val="24"/>
          <w:lang w:val="en-US" w:eastAsia="zh-CN"/>
        </w:rPr>
        <w:t xml:space="preserve"> </w:t>
      </w:r>
      <w:r>
        <w:rPr>
          <w:rFonts w:hint="eastAsia" w:ascii="仿宋_GB2312" w:hAnsi="仿宋_GB2312" w:eastAsia="仿宋_GB2312" w:cs="仿宋_GB2312"/>
          <w:color w:val="auto"/>
          <w:sz w:val="24"/>
          <w:szCs w:val="24"/>
        </w:rPr>
        <w:t>为进一步规范大唐</w:t>
      </w:r>
      <w:r>
        <w:rPr>
          <w:rFonts w:hint="eastAsia" w:ascii="仿宋_GB2312" w:hAnsi="仿宋_GB2312" w:eastAsia="仿宋_GB2312" w:cs="仿宋_GB2312"/>
          <w:color w:val="auto"/>
          <w:sz w:val="24"/>
          <w:szCs w:val="24"/>
          <w:lang w:eastAsia="zh-CN"/>
        </w:rPr>
        <w:t>延安热电厂</w:t>
      </w:r>
      <w:r>
        <w:rPr>
          <w:rFonts w:hint="eastAsia" w:ascii="仿宋_GB2312" w:hAnsi="仿宋_GB2312" w:eastAsia="仿宋_GB2312" w:cs="仿宋_GB2312"/>
          <w:color w:val="auto"/>
          <w:sz w:val="24"/>
          <w:szCs w:val="24"/>
        </w:rPr>
        <w:t>（以下简称</w:t>
      </w:r>
      <w:r>
        <w:rPr>
          <w:rFonts w:hint="eastAsia" w:ascii="仿宋_GB2312" w:hAnsi="仿宋_GB2312" w:eastAsia="仿宋_GB2312" w:cs="仿宋_GB2312"/>
          <w:color w:val="auto"/>
          <w:sz w:val="24"/>
          <w:szCs w:val="24"/>
          <w:lang w:eastAsia="zh-CN"/>
        </w:rPr>
        <w:t>延安热电厂</w:t>
      </w:r>
      <w:r>
        <w:rPr>
          <w:rFonts w:hint="eastAsia" w:ascii="仿宋_GB2312" w:hAnsi="仿宋_GB2312" w:eastAsia="仿宋_GB2312" w:cs="仿宋_GB2312"/>
          <w:color w:val="auto"/>
          <w:sz w:val="24"/>
          <w:szCs w:val="24"/>
        </w:rPr>
        <w:t>）燃料</w:t>
      </w:r>
      <w:r>
        <w:rPr>
          <w:rFonts w:hint="eastAsia" w:ascii="仿宋_GB2312" w:hAnsi="仿宋_GB2312" w:eastAsia="仿宋_GB2312" w:cs="仿宋_GB2312"/>
          <w:color w:val="auto"/>
          <w:sz w:val="24"/>
          <w:szCs w:val="24"/>
          <w:lang w:val="en-US" w:eastAsia="zh-CN"/>
        </w:rPr>
        <w:t>市场</w:t>
      </w:r>
      <w:r>
        <w:rPr>
          <w:rFonts w:hint="eastAsia" w:ascii="仿宋_GB2312" w:hAnsi="仿宋_GB2312" w:eastAsia="仿宋_GB2312" w:cs="仿宋_GB2312"/>
          <w:color w:val="auto"/>
          <w:sz w:val="24"/>
          <w:szCs w:val="24"/>
        </w:rPr>
        <w:t>供应商</w:t>
      </w:r>
      <w:r>
        <w:rPr>
          <w:rFonts w:hint="eastAsia" w:ascii="仿宋_GB2312" w:hAnsi="仿宋_GB2312" w:eastAsia="仿宋_GB2312" w:cs="仿宋_GB2312"/>
          <w:color w:val="auto"/>
          <w:sz w:val="24"/>
          <w:szCs w:val="24"/>
          <w:lang w:val="en-US" w:eastAsia="zh-CN"/>
        </w:rPr>
        <w:t>及承运供应商</w:t>
      </w:r>
      <w:r>
        <w:rPr>
          <w:rFonts w:hint="eastAsia" w:ascii="仿宋_GB2312" w:hAnsi="仿宋_GB2312" w:eastAsia="仿宋_GB2312" w:cs="仿宋_GB2312"/>
          <w:color w:val="auto"/>
          <w:sz w:val="24"/>
          <w:szCs w:val="24"/>
        </w:rPr>
        <w:t>管理，推进阳光化采购，规避燃料采购风险，结合</w:t>
      </w:r>
      <w:r>
        <w:rPr>
          <w:rFonts w:hint="eastAsia" w:ascii="仿宋_GB2312" w:hAnsi="仿宋_GB2312" w:eastAsia="仿宋_GB2312" w:cs="仿宋_GB2312"/>
          <w:color w:val="auto"/>
          <w:sz w:val="24"/>
          <w:szCs w:val="24"/>
          <w:lang w:eastAsia="zh-CN"/>
        </w:rPr>
        <w:t>延安热电厂</w:t>
      </w:r>
      <w:r>
        <w:rPr>
          <w:rFonts w:hint="eastAsia" w:ascii="仿宋_GB2312" w:hAnsi="仿宋_GB2312" w:eastAsia="仿宋_GB2312" w:cs="仿宋_GB2312"/>
          <w:color w:val="auto"/>
          <w:sz w:val="24"/>
          <w:szCs w:val="24"/>
        </w:rPr>
        <w:t>实际</w:t>
      </w:r>
      <w:r>
        <w:rPr>
          <w:rFonts w:hint="eastAsia" w:ascii="仿宋_GB2312" w:hAnsi="仿宋_GB2312" w:eastAsia="仿宋_GB2312" w:cs="仿宋_GB2312"/>
          <w:color w:val="auto"/>
          <w:sz w:val="24"/>
          <w:szCs w:val="24"/>
          <w:lang w:val="en-US" w:eastAsia="zh-CN"/>
        </w:rPr>
        <w:t>情况</w:t>
      </w:r>
      <w:r>
        <w:rPr>
          <w:rFonts w:hint="eastAsia" w:ascii="仿宋_GB2312" w:hAnsi="仿宋_GB2312" w:eastAsia="仿宋_GB2312" w:cs="仿宋_GB2312"/>
          <w:color w:val="auto"/>
          <w:sz w:val="24"/>
          <w:szCs w:val="24"/>
        </w:rPr>
        <w:t>，制定本</w:t>
      </w:r>
      <w:r>
        <w:rPr>
          <w:rFonts w:hint="eastAsia" w:ascii="仿宋_GB2312" w:hAnsi="仿宋_GB2312" w:eastAsia="仿宋_GB2312" w:cs="仿宋_GB2312"/>
          <w:color w:val="auto"/>
          <w:sz w:val="24"/>
          <w:szCs w:val="24"/>
          <w:lang w:val="en-US" w:eastAsia="zh-CN"/>
        </w:rPr>
        <w:t>细则</w:t>
      </w:r>
      <w:r>
        <w:rPr>
          <w:rFonts w:hint="eastAsia" w:ascii="仿宋_GB2312" w:hAnsi="仿宋_GB2312" w:eastAsia="仿宋_GB2312" w:cs="仿宋_GB2312"/>
          <w:color w:val="auto"/>
          <w:sz w:val="24"/>
          <w:szCs w:val="24"/>
        </w:rPr>
        <w:t>。</w:t>
      </w:r>
    </w:p>
    <w:p w14:paraId="5777767E">
      <w:pPr>
        <w:pageBreakBefore w:val="0"/>
        <w:widowControl w:val="0"/>
        <w:kinsoku/>
        <w:wordWrap/>
        <w:overflowPunct/>
        <w:topLinePunct w:val="0"/>
        <w:autoSpaceDE/>
        <w:autoSpaceDN/>
        <w:bidi w:val="0"/>
        <w:spacing w:line="240" w:lineRule="auto"/>
        <w:ind w:firstLine="480" w:firstLineChars="200"/>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sz w:val="24"/>
          <w:szCs w:val="24"/>
          <w:highlight w:val="none"/>
        </w:rPr>
        <w:t>第二条</w:t>
      </w:r>
      <w:r>
        <w:rPr>
          <w:rFonts w:hint="eastAsia" w:ascii="方正小标宋简体" w:eastAsia="方正小标宋简体"/>
          <w:b/>
          <w:sz w:val="24"/>
          <w:szCs w:val="24"/>
          <w:highlight w:val="none"/>
        </w:rPr>
        <w:t xml:space="preserve"> </w:t>
      </w:r>
      <w:r>
        <w:rPr>
          <w:rFonts w:hint="eastAsia" w:ascii="仿宋_GB2312" w:hAnsi="Times New Roman" w:eastAsia="仿宋_GB2312" w:cs="Times New Roman"/>
          <w:kern w:val="2"/>
          <w:sz w:val="24"/>
          <w:szCs w:val="24"/>
          <w:highlight w:val="none"/>
          <w:lang w:val="en-US" w:eastAsia="zh-CN" w:bidi="ar-SA"/>
        </w:rPr>
        <w:t>本细则所称“煤炭供应商”是指向</w:t>
      </w:r>
      <w:r>
        <w:rPr>
          <w:rFonts w:hint="eastAsia" w:ascii="仿宋_GB2312" w:hAnsi="仿宋_GB2312" w:eastAsia="仿宋_GB2312" w:cs="仿宋_GB2312"/>
          <w:color w:val="auto"/>
          <w:sz w:val="24"/>
          <w:szCs w:val="24"/>
          <w:lang w:eastAsia="zh-CN"/>
        </w:rPr>
        <w:t>延安热电厂</w:t>
      </w:r>
      <w:r>
        <w:rPr>
          <w:rFonts w:hint="eastAsia" w:ascii="仿宋_GB2312" w:hAnsi="Times New Roman" w:eastAsia="仿宋_GB2312" w:cs="Times New Roman"/>
          <w:kern w:val="2"/>
          <w:sz w:val="24"/>
          <w:szCs w:val="24"/>
          <w:highlight w:val="none"/>
          <w:lang w:val="en-US" w:eastAsia="zh-CN" w:bidi="ar-SA"/>
        </w:rPr>
        <w:t>销售供发电（含生物质燃料）的煤炭生产企业及其所属的销售企业、通过贸易形式销售上述煤炭的企业、承担煤炭物流运输的企业等。</w:t>
      </w:r>
    </w:p>
    <w:p w14:paraId="6E270DAF">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sz w:val="24"/>
          <w:szCs w:val="24"/>
          <w:highlight w:val="none"/>
        </w:rPr>
        <w:t xml:space="preserve">第三条 </w:t>
      </w:r>
      <w:r>
        <w:rPr>
          <w:rFonts w:hint="eastAsia" w:ascii="仿宋_GB2312" w:hAnsi="Times New Roman" w:eastAsia="仿宋_GB2312" w:cs="Times New Roman"/>
          <w:kern w:val="2"/>
          <w:sz w:val="24"/>
          <w:szCs w:val="24"/>
          <w:highlight w:val="none"/>
          <w:lang w:val="en-US" w:eastAsia="zh-CN" w:bidi="ar-SA"/>
        </w:rPr>
        <w:t>根据供应商的行业类别，生产、供应、运输能力，诚信履约等因素，对供应商进行分业、分类、分级管理。按行业分为煤炭购销、煤炭物流运输两个行业；按照履约诚信情况分为优质、良好、合格、不合格四个级别。</w:t>
      </w:r>
    </w:p>
    <w:p w14:paraId="77EBD1E7">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第四条</w:t>
      </w:r>
      <w:r>
        <w:rPr>
          <w:rFonts w:hint="eastAsia" w:ascii="仿宋_GB2312" w:hAnsi="Times New Roman" w:eastAsia="仿宋_GB2312" w:cs="Times New Roman"/>
          <w:sz w:val="24"/>
          <w:szCs w:val="24"/>
          <w:highlight w:val="none"/>
          <w:lang w:val="en-US" w:eastAsia="zh-CN"/>
        </w:rPr>
        <w:t xml:space="preserve"> </w:t>
      </w:r>
      <w:r>
        <w:rPr>
          <w:rFonts w:hint="eastAsia" w:ascii="仿宋_GB2312" w:hAnsi="Times New Roman" w:eastAsia="仿宋_GB2312" w:cs="Times New Roman"/>
          <w:kern w:val="2"/>
          <w:sz w:val="24"/>
          <w:szCs w:val="24"/>
          <w:highlight w:val="none"/>
          <w:lang w:val="en-US" w:eastAsia="zh-CN" w:bidi="ar-SA"/>
        </w:rPr>
        <w:t>（一）煤炭购销类供应商参照《大唐陕西发电有限公司煤炭供应商管理办法》中的分类分为：一类供应商、二类供应商、三类供应商、四类供应商、五类供应商；</w:t>
      </w:r>
    </w:p>
    <w:p w14:paraId="29118D31">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（二）煤炭物流运输类供应商（承运商）参照《大唐陕西发电有限公司煤炭供应商管理办法》中的分类分为</w:t>
      </w:r>
      <w:r>
        <w:rPr>
          <w:rFonts w:hint="eastAsia" w:ascii="仿宋_GB2312" w:hAnsi="Times New Roman" w:eastAsia="仿宋_GB2312" w:cs="Times New Roman"/>
          <w:snapToGrid/>
          <w:kern w:val="2"/>
          <w:sz w:val="24"/>
          <w:szCs w:val="24"/>
          <w:highlight w:val="none"/>
          <w:lang w:val="en-US" w:eastAsia="zh-CN" w:bidi="ar-SA"/>
        </w:rPr>
        <w:t>：</w:t>
      </w:r>
      <w:r>
        <w:rPr>
          <w:rFonts w:hint="eastAsia" w:ascii="仿宋_GB2312" w:hAnsi="Times New Roman" w:eastAsia="仿宋_GB2312" w:cs="Times New Roman"/>
          <w:kern w:val="2"/>
          <w:sz w:val="24"/>
          <w:szCs w:val="24"/>
          <w:highlight w:val="none"/>
          <w:lang w:val="en-US" w:eastAsia="zh-CN" w:bidi="ar-SA"/>
        </w:rPr>
        <w:t>一类供应商、二类供应商、三类供应商、五类供应商。</w:t>
      </w:r>
    </w:p>
    <w:p w14:paraId="1228C5C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sz w:val="24"/>
          <w:szCs w:val="24"/>
          <w:highlight w:val="none"/>
          <w:lang w:val="en-US" w:eastAsia="zh-CN"/>
        </w:rPr>
        <w:t>第</w:t>
      </w:r>
      <w:r>
        <w:rPr>
          <w:rFonts w:hint="eastAsia" w:ascii="黑体" w:hAnsi="黑体" w:eastAsia="黑体" w:cs="黑体"/>
          <w:sz w:val="24"/>
          <w:szCs w:val="24"/>
          <w:highlight w:val="none"/>
          <w:lang w:val="en-US" w:eastAsia="zh-CN"/>
        </w:rPr>
        <w:t>五条</w:t>
      </w:r>
      <w:r>
        <w:rPr>
          <w:rFonts w:hint="eastAsia" w:ascii="黑体" w:hAnsi="黑体" w:eastAsia="黑体" w:cs="黑体"/>
          <w:kern w:val="2"/>
          <w:sz w:val="24"/>
          <w:szCs w:val="24"/>
          <w:highlight w:val="none"/>
          <w:lang w:val="en-US" w:eastAsia="zh-CN" w:bidi="ar-SA"/>
        </w:rPr>
        <w:t xml:space="preserve"> 供应商管理原则</w:t>
      </w:r>
    </w:p>
    <w:p w14:paraId="7A8AFFD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（一）谁准入、谁负责。</w:t>
      </w:r>
      <w:r>
        <w:rPr>
          <w:rFonts w:hint="eastAsia" w:hAnsi="Times New Roman" w:eastAsia="仿宋_GB2312" w:cs="Times New Roman"/>
          <w:kern w:val="2"/>
          <w:sz w:val="24"/>
          <w:szCs w:val="24"/>
          <w:highlight w:val="none"/>
          <w:lang w:val="en-US" w:eastAsia="zh-CN" w:bidi="ar-SA"/>
        </w:rPr>
        <w:t>燃料物资部</w:t>
      </w:r>
      <w:r>
        <w:rPr>
          <w:rFonts w:hint="eastAsia" w:ascii="仿宋_GB2312" w:hAnsi="Times New Roman" w:eastAsia="仿宋_GB2312" w:cs="Times New Roman"/>
          <w:kern w:val="2"/>
          <w:sz w:val="24"/>
          <w:szCs w:val="24"/>
          <w:highlight w:val="none"/>
          <w:lang w:val="en-US" w:eastAsia="zh-CN" w:bidi="ar-SA"/>
        </w:rPr>
        <w:t>对供应商有关材料的真实性、完整性负责。</w:t>
      </w:r>
    </w:p>
    <w:p w14:paraId="179A2712">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（二）谁合作、谁管理。</w:t>
      </w:r>
      <w:r>
        <w:rPr>
          <w:rFonts w:hint="eastAsia" w:hAnsi="Times New Roman" w:eastAsia="仿宋_GB2312" w:cs="Times New Roman"/>
          <w:kern w:val="2"/>
          <w:sz w:val="24"/>
          <w:szCs w:val="24"/>
          <w:highlight w:val="none"/>
          <w:lang w:val="en-US" w:eastAsia="zh-CN" w:bidi="ar-SA"/>
        </w:rPr>
        <w:t>燃料物资部</w:t>
      </w:r>
      <w:r>
        <w:rPr>
          <w:rFonts w:hint="eastAsia" w:ascii="仿宋_GB2312" w:hAnsi="Times New Roman" w:eastAsia="仿宋_GB2312" w:cs="Times New Roman"/>
          <w:kern w:val="2"/>
          <w:sz w:val="24"/>
          <w:szCs w:val="24"/>
          <w:highlight w:val="none"/>
          <w:lang w:val="en-US" w:eastAsia="zh-CN" w:bidi="ar-SA"/>
        </w:rPr>
        <w:t>负责审核、维护供应商的基础信息，增加和更新所合作供应商的矿点、品名等信息，并定期对供应商进行评价。</w:t>
      </w:r>
    </w:p>
    <w:p w14:paraId="149B9B92">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（三）量化评价，分级管控。对供应商的评价、考核、管理要按权限逐级履行责任。</w:t>
      </w:r>
    </w:p>
    <w:p w14:paraId="6749B1D1">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（四）动态调整，优胜劣汰。不断拓展供应商队伍，动态优化供应、运输渠道，实行优胜劣汰，停用不合格供应商和一年内无合作供应商。</w:t>
      </w:r>
    </w:p>
    <w:p w14:paraId="4B354442">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（五）规范操作，三公透明。供应商管理工作要实现制度化、规范化，信息化，建立“公开、公平、公正”的管理机制，杜绝暗箱操作。</w:t>
      </w:r>
    </w:p>
    <w:p w14:paraId="1B1B869F">
      <w:pPr>
        <w:pageBreakBefore w:val="0"/>
        <w:widowControl w:val="0"/>
        <w:kinsoku/>
        <w:wordWrap/>
        <w:overflowPunct/>
        <w:topLinePunct w:val="0"/>
        <w:autoSpaceDE/>
        <w:autoSpaceDN/>
        <w:bidi w:val="0"/>
        <w:spacing w:line="240" w:lineRule="auto"/>
        <w:rPr>
          <w:rFonts w:hint="eastAsia"/>
          <w:sz w:val="24"/>
          <w:szCs w:val="24"/>
          <w:lang w:val="en-US" w:eastAsia="zh-CN"/>
        </w:rPr>
      </w:pPr>
    </w:p>
    <w:p w14:paraId="4DD0CE73">
      <w:pPr>
        <w:pageBreakBefore w:val="0"/>
        <w:widowControl w:val="0"/>
        <w:numPr>
          <w:ilvl w:val="0"/>
          <w:numId w:val="6"/>
        </w:numPr>
        <w:kinsoku/>
        <w:wordWrap/>
        <w:overflowPunct/>
        <w:topLinePunct w:val="0"/>
        <w:autoSpaceDE/>
        <w:autoSpaceDN/>
        <w:bidi w:val="0"/>
        <w:spacing w:line="240" w:lineRule="auto"/>
        <w:ind w:left="0" w:leftChars="0" w:firstLine="0" w:firstLineChars="0"/>
        <w:jc w:val="center"/>
        <w:rPr>
          <w:rFonts w:hint="eastAsia" w:ascii="黑体" w:hAnsi="黑体" w:eastAsia="黑体" w:cs="黑体"/>
          <w:b/>
          <w:bCs/>
          <w:sz w:val="24"/>
          <w:szCs w:val="24"/>
          <w:highlight w:val="none"/>
          <w:lang w:val="en-US" w:eastAsia="zh-CN"/>
        </w:rPr>
      </w:pPr>
      <w:bookmarkStart w:id="60" w:name="_Toc366991607"/>
      <w:bookmarkStart w:id="61" w:name="_Toc1473552452"/>
      <w:r>
        <w:rPr>
          <w:rFonts w:hint="eastAsia" w:ascii="黑体" w:hAnsi="黑体" w:eastAsia="黑体" w:cs="黑体"/>
          <w:b/>
          <w:bCs/>
          <w:sz w:val="24"/>
          <w:szCs w:val="24"/>
          <w:highlight w:val="none"/>
          <w:lang w:val="en-US" w:eastAsia="zh-CN"/>
        </w:rPr>
        <w:t>适用范围</w:t>
      </w:r>
      <w:bookmarkEnd w:id="60"/>
      <w:bookmarkEnd w:id="61"/>
    </w:p>
    <w:p w14:paraId="34A8B1EB">
      <w:pPr>
        <w:pageBreakBefore w:val="0"/>
        <w:widowControl w:val="0"/>
        <w:numPr>
          <w:ilvl w:val="0"/>
          <w:numId w:val="0"/>
        </w:numPr>
        <w:kinsoku/>
        <w:wordWrap/>
        <w:overflowPunct/>
        <w:topLinePunct w:val="0"/>
        <w:autoSpaceDE/>
        <w:autoSpaceDN/>
        <w:bidi w:val="0"/>
        <w:spacing w:line="240" w:lineRule="auto"/>
        <w:ind w:leftChars="0"/>
        <w:jc w:val="both"/>
        <w:rPr>
          <w:rFonts w:hint="eastAsia" w:ascii="黑体" w:hAnsi="黑体" w:eastAsia="黑体" w:cs="黑体"/>
          <w:sz w:val="24"/>
          <w:szCs w:val="24"/>
          <w:highlight w:val="none"/>
          <w:lang w:val="en-US" w:eastAsia="zh-CN"/>
        </w:rPr>
      </w:pPr>
    </w:p>
    <w:p w14:paraId="3BB0A859">
      <w:pPr>
        <w:keepNext w:val="0"/>
        <w:keepLines w:val="0"/>
        <w:pageBreakBefore w:val="0"/>
        <w:widowControl w:val="0"/>
        <w:numPr>
          <w:ilvl w:val="0"/>
          <w:numId w:val="7"/>
        </w:numPr>
        <w:kinsoku/>
        <w:wordWrap/>
        <w:overflowPunct/>
        <w:topLinePunct w:val="0"/>
        <w:autoSpaceDE/>
        <w:autoSpaceDN/>
        <w:bidi w:val="0"/>
        <w:snapToGrid w:val="0"/>
        <w:spacing w:line="240" w:lineRule="auto"/>
        <w:ind w:firstLine="480" w:firstLineChars="200"/>
        <w:textAlignment w:val="auto"/>
        <w:rPr>
          <w:rFonts w:hint="eastAsia" w:ascii="仿宋_GB2312" w:eastAsia="仿宋_GB2312"/>
          <w:color w:val="auto"/>
          <w:sz w:val="24"/>
          <w:szCs w:val="24"/>
        </w:rPr>
      </w:pPr>
      <w:r>
        <w:rPr>
          <w:rFonts w:hint="eastAsia" w:ascii="仿宋_GB2312" w:eastAsia="仿宋_GB2312"/>
          <w:color w:val="auto"/>
          <w:sz w:val="24"/>
          <w:szCs w:val="24"/>
        </w:rPr>
        <w:t>本</w:t>
      </w:r>
      <w:r>
        <w:rPr>
          <w:rFonts w:hint="eastAsia" w:ascii="仿宋_GB2312" w:eastAsia="仿宋_GB2312"/>
          <w:color w:val="auto"/>
          <w:sz w:val="24"/>
          <w:szCs w:val="24"/>
          <w:lang w:val="en-US" w:eastAsia="zh-CN"/>
        </w:rPr>
        <w:t>办法</w:t>
      </w:r>
      <w:r>
        <w:rPr>
          <w:rFonts w:hint="eastAsia" w:ascii="仿宋_GB2312" w:eastAsia="仿宋_GB2312"/>
          <w:color w:val="auto"/>
          <w:sz w:val="24"/>
          <w:szCs w:val="24"/>
        </w:rPr>
        <w:t>适用于</w:t>
      </w:r>
      <w:r>
        <w:rPr>
          <w:rFonts w:hint="eastAsia" w:ascii="仿宋_GB2312" w:hAnsi="仿宋_GB2312" w:eastAsia="仿宋_GB2312" w:cs="仿宋_GB2312"/>
          <w:color w:val="auto"/>
          <w:sz w:val="24"/>
          <w:szCs w:val="24"/>
          <w:lang w:eastAsia="zh-CN"/>
        </w:rPr>
        <w:t>延安热电厂</w:t>
      </w:r>
      <w:r>
        <w:rPr>
          <w:rFonts w:hint="eastAsia" w:ascii="仿宋_GB2312" w:eastAsia="仿宋_GB2312"/>
          <w:color w:val="auto"/>
          <w:sz w:val="24"/>
          <w:szCs w:val="24"/>
          <w:lang w:val="en-US" w:eastAsia="zh-CN"/>
        </w:rPr>
        <w:t>燃料供应商</w:t>
      </w:r>
      <w:r>
        <w:rPr>
          <w:rFonts w:hint="eastAsia" w:ascii="仿宋_GB2312" w:eastAsia="仿宋_GB2312"/>
          <w:color w:val="auto"/>
          <w:sz w:val="24"/>
          <w:szCs w:val="24"/>
        </w:rPr>
        <w:t>管理工作。</w:t>
      </w:r>
    </w:p>
    <w:p w14:paraId="3D282277">
      <w:pPr>
        <w:keepNext w:val="0"/>
        <w:keepLines w:val="0"/>
        <w:pageBreakBefore w:val="0"/>
        <w:widowControl w:val="0"/>
        <w:numPr>
          <w:ilvl w:val="0"/>
          <w:numId w:val="0"/>
        </w:numPr>
        <w:kinsoku/>
        <w:wordWrap/>
        <w:overflowPunct/>
        <w:topLinePunct w:val="0"/>
        <w:autoSpaceDE/>
        <w:autoSpaceDN/>
        <w:bidi w:val="0"/>
        <w:snapToGrid w:val="0"/>
        <w:spacing w:line="240" w:lineRule="auto"/>
        <w:textAlignment w:val="auto"/>
        <w:rPr>
          <w:rFonts w:hint="eastAsia" w:ascii="仿宋_GB2312" w:eastAsia="仿宋_GB2312"/>
          <w:color w:val="auto"/>
          <w:sz w:val="24"/>
          <w:szCs w:val="24"/>
        </w:rPr>
      </w:pPr>
    </w:p>
    <w:p w14:paraId="34EB32F3">
      <w:pPr>
        <w:pageBreakBefore w:val="0"/>
        <w:widowControl w:val="0"/>
        <w:numPr>
          <w:ilvl w:val="0"/>
          <w:numId w:val="6"/>
        </w:numPr>
        <w:kinsoku/>
        <w:wordWrap/>
        <w:overflowPunct/>
        <w:topLinePunct w:val="0"/>
        <w:autoSpaceDE/>
        <w:autoSpaceDN/>
        <w:bidi w:val="0"/>
        <w:spacing w:line="240" w:lineRule="auto"/>
        <w:ind w:left="0" w:leftChars="0" w:firstLine="0" w:firstLineChars="0"/>
        <w:jc w:val="center"/>
        <w:rPr>
          <w:rFonts w:hint="eastAsia" w:ascii="黑体" w:hAnsi="黑体" w:eastAsia="黑体" w:cs="黑体"/>
          <w:b/>
          <w:bCs/>
          <w:sz w:val="24"/>
          <w:szCs w:val="24"/>
          <w:highlight w:val="none"/>
          <w:lang w:val="en-US" w:eastAsia="zh-CN"/>
        </w:rPr>
      </w:pPr>
      <w:r>
        <w:rPr>
          <w:rFonts w:hint="eastAsia" w:ascii="黑体" w:hAnsi="黑体" w:eastAsia="黑体" w:cs="黑体"/>
          <w:b/>
          <w:bCs/>
          <w:sz w:val="24"/>
          <w:szCs w:val="24"/>
          <w:highlight w:val="none"/>
          <w:lang w:val="en-US" w:eastAsia="zh-CN"/>
        </w:rPr>
        <w:t xml:space="preserve"> 组织与职责</w:t>
      </w:r>
    </w:p>
    <w:p w14:paraId="3FE36D72">
      <w:pPr>
        <w:pageBreakBefore w:val="0"/>
        <w:widowControl w:val="0"/>
        <w:numPr>
          <w:ilvl w:val="0"/>
          <w:numId w:val="0"/>
        </w:numPr>
        <w:kinsoku/>
        <w:wordWrap/>
        <w:overflowPunct/>
        <w:topLinePunct w:val="0"/>
        <w:autoSpaceDE/>
        <w:autoSpaceDN/>
        <w:bidi w:val="0"/>
        <w:spacing w:line="240" w:lineRule="auto"/>
        <w:ind w:leftChars="0"/>
        <w:jc w:val="both"/>
        <w:rPr>
          <w:rFonts w:hint="eastAsia" w:ascii="黑体" w:hAnsi="黑体" w:eastAsia="黑体" w:cs="黑体"/>
          <w:sz w:val="24"/>
          <w:szCs w:val="24"/>
          <w:highlight w:val="none"/>
          <w:lang w:val="en-US" w:eastAsia="zh-CN"/>
        </w:rPr>
      </w:pPr>
    </w:p>
    <w:p w14:paraId="700F9C86">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GB" w:eastAsia="zh-CN" w:bidi="ar-SA"/>
        </w:rPr>
      </w:pPr>
      <w:r>
        <w:rPr>
          <w:rFonts w:hint="eastAsia" w:ascii="黑体" w:hAnsi="黑体" w:eastAsia="黑体" w:cs="黑体"/>
          <w:kern w:val="2"/>
          <w:sz w:val="24"/>
          <w:szCs w:val="24"/>
          <w:highlight w:val="none"/>
          <w:lang w:val="en-US" w:eastAsia="zh-CN" w:bidi="ar-SA"/>
        </w:rPr>
        <w:t>第七条</w:t>
      </w:r>
      <w:r>
        <w:rPr>
          <w:rFonts w:hint="eastAsia" w:ascii="黑体" w:hAnsi="黑体" w:eastAsia="黑体" w:cs="黑体"/>
          <w:kern w:val="2"/>
          <w:sz w:val="24"/>
          <w:szCs w:val="24"/>
          <w:highlight w:val="none"/>
          <w:lang w:val="en-GB" w:eastAsia="zh-CN" w:bidi="ar-SA"/>
        </w:rPr>
        <w:t xml:space="preserve"> </w:t>
      </w:r>
      <w:r>
        <w:rPr>
          <w:rFonts w:hint="eastAsia" w:ascii="黑体" w:hAnsi="黑体" w:eastAsia="黑体" w:cs="黑体"/>
          <w:kern w:val="2"/>
          <w:sz w:val="24"/>
          <w:szCs w:val="24"/>
          <w:highlight w:val="none"/>
          <w:lang w:val="en-US" w:eastAsia="zh-CN" w:bidi="ar-SA"/>
        </w:rPr>
        <w:t>燃料物资部职责：</w:t>
      </w:r>
    </w:p>
    <w:p w14:paraId="24D229F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（一）制定本单位供应商实施细则</w:t>
      </w:r>
      <w:r>
        <w:rPr>
          <w:rFonts w:hint="eastAsia" w:hAnsi="Times New Roman" w:eastAsia="仿宋_GB2312" w:cs="Times New Roman"/>
          <w:kern w:val="2"/>
          <w:sz w:val="24"/>
          <w:szCs w:val="24"/>
          <w:highlight w:val="none"/>
          <w:lang w:val="en-US" w:eastAsia="zh-CN" w:bidi="ar-SA"/>
        </w:rPr>
        <w:t>。</w:t>
      </w:r>
    </w:p>
    <w:p w14:paraId="4A395A2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（二）负责开发和向陕西公司推荐中长期合同供应商</w:t>
      </w:r>
      <w:r>
        <w:rPr>
          <w:rFonts w:hint="eastAsia" w:hAnsi="Times New Roman" w:eastAsia="仿宋_GB2312" w:cs="Times New Roman"/>
          <w:kern w:val="2"/>
          <w:sz w:val="24"/>
          <w:szCs w:val="24"/>
          <w:highlight w:val="none"/>
          <w:lang w:val="en-US" w:eastAsia="zh-CN" w:bidi="ar-SA"/>
        </w:rPr>
        <w:t>。</w:t>
      </w:r>
    </w:p>
    <w:p w14:paraId="31F36707">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（三）负责市场议价供应商准入审查，负责供应商参与</w:t>
      </w:r>
      <w:r>
        <w:rPr>
          <w:rFonts w:hint="eastAsia" w:ascii="仿宋_GB2312" w:hAnsi="仿宋_GB2312" w:eastAsia="仿宋_GB2312" w:cs="仿宋_GB2312"/>
          <w:color w:val="auto"/>
          <w:sz w:val="24"/>
          <w:szCs w:val="24"/>
          <w:lang w:eastAsia="zh-CN"/>
        </w:rPr>
        <w:t>延安热电厂</w:t>
      </w:r>
      <w:r>
        <w:rPr>
          <w:rFonts w:hint="eastAsia" w:ascii="仿宋_GB2312" w:hAnsi="Times New Roman" w:eastAsia="仿宋_GB2312" w:cs="Times New Roman"/>
          <w:kern w:val="2"/>
          <w:sz w:val="24"/>
          <w:szCs w:val="24"/>
          <w:highlight w:val="none"/>
          <w:lang w:val="en-US" w:eastAsia="zh-CN" w:bidi="ar-SA"/>
        </w:rPr>
        <w:t>竞价时的资质复审，对其提供的相关材料的真实性、完整性、准确性与集团电子交易平台运营单位负担同责</w:t>
      </w:r>
      <w:r>
        <w:rPr>
          <w:rFonts w:hint="eastAsia" w:hAnsi="Times New Roman" w:eastAsia="仿宋_GB2312" w:cs="Times New Roman"/>
          <w:kern w:val="2"/>
          <w:sz w:val="24"/>
          <w:szCs w:val="24"/>
          <w:highlight w:val="none"/>
          <w:lang w:val="en-US" w:eastAsia="zh-CN" w:bidi="ar-SA"/>
        </w:rPr>
        <w:t>。</w:t>
      </w:r>
    </w:p>
    <w:p w14:paraId="60BB9856">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（四）组织供应商在集团电子交易平台申请注册，对供应商进行考核评价，并根据评价结果和有关具体情况对供应商申请停用或启用等</w:t>
      </w:r>
      <w:r>
        <w:rPr>
          <w:rFonts w:hint="eastAsia" w:hAnsi="Times New Roman" w:eastAsia="仿宋_GB2312" w:cs="Times New Roman"/>
          <w:kern w:val="2"/>
          <w:sz w:val="24"/>
          <w:szCs w:val="24"/>
          <w:highlight w:val="none"/>
          <w:lang w:val="en-US" w:eastAsia="zh-CN" w:bidi="ar-SA"/>
        </w:rPr>
        <w:t>。</w:t>
      </w:r>
    </w:p>
    <w:p w14:paraId="4205BC14">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（五）管理</w:t>
      </w:r>
      <w:r>
        <w:rPr>
          <w:rFonts w:hint="eastAsia" w:ascii="仿宋_GB2312" w:hAnsi="仿宋_GB2312" w:eastAsia="仿宋_GB2312" w:cs="仿宋_GB2312"/>
          <w:color w:val="auto"/>
          <w:sz w:val="24"/>
          <w:szCs w:val="24"/>
        </w:rPr>
        <w:t>大唐</w:t>
      </w:r>
      <w:r>
        <w:rPr>
          <w:rFonts w:hint="eastAsia" w:ascii="仿宋_GB2312" w:hAnsi="仿宋_GB2312" w:eastAsia="仿宋_GB2312" w:cs="仿宋_GB2312"/>
          <w:color w:val="auto"/>
          <w:sz w:val="24"/>
          <w:szCs w:val="24"/>
          <w:lang w:eastAsia="zh-CN"/>
        </w:rPr>
        <w:t>延安热电厂</w:t>
      </w:r>
      <w:r>
        <w:rPr>
          <w:rFonts w:hint="eastAsia" w:ascii="仿宋_GB2312" w:hAnsi="Times New Roman" w:eastAsia="仿宋_GB2312" w:cs="Times New Roman"/>
          <w:kern w:val="2"/>
          <w:sz w:val="24"/>
          <w:szCs w:val="24"/>
          <w:highlight w:val="none"/>
          <w:lang w:val="en-US" w:eastAsia="zh-CN" w:bidi="ar-SA"/>
        </w:rPr>
        <w:t>合作供应商，及时录入、维护供应商基本信息和矿点、品名等有关信息</w:t>
      </w:r>
      <w:r>
        <w:rPr>
          <w:rFonts w:hint="eastAsia" w:hAnsi="Times New Roman" w:eastAsia="仿宋_GB2312" w:cs="Times New Roman"/>
          <w:kern w:val="2"/>
          <w:sz w:val="24"/>
          <w:szCs w:val="24"/>
          <w:highlight w:val="none"/>
          <w:lang w:val="en-US" w:eastAsia="zh-CN" w:bidi="ar-SA"/>
        </w:rPr>
        <w:t>。</w:t>
      </w:r>
    </w:p>
    <w:p w14:paraId="64A99813">
      <w:pPr>
        <w:keepNext w:val="0"/>
        <w:keepLines w:val="0"/>
        <w:pageBreakBefore w:val="0"/>
        <w:widowControl w:val="0"/>
        <w:kinsoku/>
        <w:wordWrap/>
        <w:overflowPunct/>
        <w:topLinePunct w:val="0"/>
        <w:autoSpaceDE/>
        <w:autoSpaceDN/>
        <w:bidi w:val="0"/>
        <w:snapToGrid w:val="0"/>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（六）向陕西公司提交将煤炭供应商列入黑名单的建议，根据实际情况在本单位范围内直接“冻结”供应商，或提交在陕西公司、集团公司范围内的“冻结”申请，或按规定申请启用供应商。</w:t>
      </w:r>
    </w:p>
    <w:p w14:paraId="68FD9176">
      <w:pPr>
        <w:keepNext w:val="0"/>
        <w:keepLines w:val="0"/>
        <w:pageBreakBefore w:val="0"/>
        <w:widowControl w:val="0"/>
        <w:kinsoku/>
        <w:wordWrap/>
        <w:overflowPunct/>
        <w:topLinePunct w:val="0"/>
        <w:autoSpaceDE/>
        <w:autoSpaceDN/>
        <w:bidi w:val="0"/>
        <w:snapToGrid w:val="0"/>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 xml:space="preserve">第八条  </w:t>
      </w:r>
      <w:r>
        <w:rPr>
          <w:rFonts w:hint="eastAsia" w:ascii="仿宋_GB2312" w:hAnsi="Times New Roman" w:eastAsia="仿宋_GB2312" w:cs="Times New Roman"/>
          <w:kern w:val="2"/>
          <w:sz w:val="24"/>
          <w:szCs w:val="24"/>
          <w:highlight w:val="none"/>
          <w:lang w:val="en-US" w:eastAsia="zh-CN" w:bidi="ar-SA"/>
        </w:rPr>
        <w:t>供应商的准入和审查参照《大唐陕西发电有限公司煤炭供应商管理办法》中的规定执行。</w:t>
      </w:r>
    </w:p>
    <w:p w14:paraId="77F5964A">
      <w:pPr>
        <w:keepNext w:val="0"/>
        <w:keepLines w:val="0"/>
        <w:pageBreakBefore w:val="0"/>
        <w:widowControl w:val="0"/>
        <w:kinsoku/>
        <w:wordWrap/>
        <w:overflowPunct/>
        <w:topLinePunct w:val="0"/>
        <w:autoSpaceDE/>
        <w:autoSpaceDN/>
        <w:bidi w:val="0"/>
        <w:snapToGrid w:val="0"/>
        <w:spacing w:line="240" w:lineRule="auto"/>
        <w:ind w:firstLine="480" w:firstLineChars="200"/>
        <w:textAlignment w:val="auto"/>
        <w:rPr>
          <w:rFonts w:hint="default" w:ascii="仿宋_GB2312" w:hAnsi="Times New Roman" w:eastAsia="仿宋_GB2312" w:cs="Times New Roman"/>
          <w:kern w:val="2"/>
          <w:sz w:val="24"/>
          <w:szCs w:val="24"/>
          <w:highlight w:val="none"/>
          <w:lang w:val="en-US" w:eastAsia="zh-CN" w:bidi="ar-SA"/>
        </w:rPr>
      </w:pPr>
    </w:p>
    <w:p w14:paraId="722D6240">
      <w:pPr>
        <w:keepNext w:val="0"/>
        <w:keepLines w:val="0"/>
        <w:pageBreakBefore w:val="0"/>
        <w:widowControl w:val="0"/>
        <w:numPr>
          <w:ilvl w:val="0"/>
          <w:numId w:val="6"/>
        </w:numPr>
        <w:kinsoku/>
        <w:wordWrap/>
        <w:overflowPunct/>
        <w:topLinePunct w:val="0"/>
        <w:autoSpaceDE/>
        <w:autoSpaceDN/>
        <w:bidi w:val="0"/>
        <w:adjustRightInd/>
        <w:spacing w:line="240" w:lineRule="auto"/>
        <w:ind w:left="0" w:leftChars="0" w:firstLine="0" w:firstLineChars="0"/>
        <w:jc w:val="center"/>
        <w:textAlignment w:val="auto"/>
        <w:outlineLvl w:val="0"/>
        <w:rPr>
          <w:rFonts w:hint="eastAsia" w:ascii="黑体" w:hAnsi="黑体" w:eastAsia="黑体" w:cs="黑体"/>
          <w:b/>
          <w:bCs/>
          <w:kern w:val="0"/>
          <w:sz w:val="24"/>
          <w:szCs w:val="24"/>
          <w:highlight w:val="none"/>
          <w:lang w:val="en-US" w:eastAsia="zh-CN" w:bidi="ar-SA"/>
        </w:rPr>
      </w:pPr>
      <w:r>
        <w:rPr>
          <w:rFonts w:hint="eastAsia" w:ascii="黑体" w:hAnsi="黑体" w:eastAsia="黑体" w:cs="黑体"/>
          <w:b/>
          <w:bCs/>
          <w:kern w:val="0"/>
          <w:sz w:val="24"/>
          <w:szCs w:val="24"/>
          <w:highlight w:val="none"/>
          <w:lang w:val="en-US" w:eastAsia="zh-CN" w:bidi="ar-SA"/>
        </w:rPr>
        <w:t xml:space="preserve"> 供应商的评价</w:t>
      </w:r>
    </w:p>
    <w:p w14:paraId="5540F1AB">
      <w:pPr>
        <w:keepNext w:val="0"/>
        <w:keepLines w:val="0"/>
        <w:pageBreakBefore w:val="0"/>
        <w:widowControl w:val="0"/>
        <w:numPr>
          <w:ilvl w:val="0"/>
          <w:numId w:val="0"/>
        </w:numPr>
        <w:kinsoku/>
        <w:wordWrap/>
        <w:overflowPunct/>
        <w:topLinePunct w:val="0"/>
        <w:autoSpaceDE/>
        <w:autoSpaceDN/>
        <w:bidi w:val="0"/>
        <w:adjustRightInd/>
        <w:spacing w:line="240" w:lineRule="auto"/>
        <w:ind w:leftChars="0"/>
        <w:jc w:val="both"/>
        <w:textAlignment w:val="auto"/>
        <w:outlineLvl w:val="0"/>
        <w:rPr>
          <w:rFonts w:hint="eastAsia" w:ascii="黑体" w:hAnsi="黑体" w:eastAsia="黑体" w:cs="黑体"/>
          <w:b w:val="0"/>
          <w:bCs w:val="0"/>
          <w:kern w:val="0"/>
          <w:sz w:val="24"/>
          <w:szCs w:val="24"/>
          <w:highlight w:val="none"/>
          <w:lang w:val="en-US" w:eastAsia="zh-CN" w:bidi="ar-SA"/>
        </w:rPr>
      </w:pPr>
    </w:p>
    <w:p w14:paraId="6F4C99AC">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ascii="黑体" w:hAnsi="黑体" w:eastAsia="黑体"/>
          <w:snapToGrid w:val="0"/>
          <w:color w:val="auto"/>
          <w:kern w:val="0"/>
          <w:sz w:val="24"/>
          <w:szCs w:val="24"/>
        </w:rPr>
        <w:t>第</w:t>
      </w:r>
      <w:r>
        <w:rPr>
          <w:rFonts w:hint="eastAsia" w:ascii="黑体" w:hAnsi="黑体" w:eastAsia="黑体"/>
          <w:snapToGrid w:val="0"/>
          <w:color w:val="auto"/>
          <w:kern w:val="0"/>
          <w:sz w:val="24"/>
          <w:szCs w:val="24"/>
          <w:lang w:val="en-US" w:eastAsia="zh-CN"/>
        </w:rPr>
        <w:t>九</w:t>
      </w:r>
      <w:r>
        <w:rPr>
          <w:rFonts w:ascii="黑体" w:hAnsi="黑体" w:eastAsia="黑体"/>
          <w:snapToGrid w:val="0"/>
          <w:color w:val="auto"/>
          <w:kern w:val="0"/>
          <w:sz w:val="24"/>
          <w:szCs w:val="24"/>
        </w:rPr>
        <w:t>条</w:t>
      </w:r>
      <w:r>
        <w:rPr>
          <w:rFonts w:hint="eastAsia" w:ascii="黑体" w:hAnsi="黑体" w:eastAsia="黑体"/>
          <w:snapToGrid w:val="0"/>
          <w:color w:val="auto"/>
          <w:kern w:val="0"/>
          <w:sz w:val="24"/>
          <w:szCs w:val="24"/>
          <w:lang w:val="en-US" w:eastAsia="zh-CN"/>
        </w:rPr>
        <w:t xml:space="preserve"> </w:t>
      </w:r>
      <w:r>
        <w:rPr>
          <w:rFonts w:hint="eastAsia" w:ascii="仿宋_GB2312" w:hAnsi="Times New Roman" w:eastAsia="仿宋_GB2312" w:cs="Times New Roman"/>
          <w:kern w:val="2"/>
          <w:sz w:val="24"/>
          <w:szCs w:val="24"/>
          <w:highlight w:val="none"/>
          <w:lang w:val="en-US" w:eastAsia="zh-CN" w:bidi="ar-SA"/>
        </w:rPr>
        <w:t>供应商的评价由燃料物资部负责，具体由供应商管理人员负责录入、提交评价得分。纳入统一采购范围内的基层企业，应将供应商配合接卸等情况及时反馈给统一甲方，作为甲方对供应商进行整体评价的重要依据。集团电子交易平台可以根据管理需要，对供应商参与交易情况、服务费缴纳情况等开展附加评价。</w:t>
      </w:r>
    </w:p>
    <w:p w14:paraId="08B9E8AE">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第十条</w:t>
      </w:r>
      <w:r>
        <w:rPr>
          <w:rFonts w:hint="eastAsia" w:ascii="仿宋_GB2312" w:hAnsi="Times New Roman" w:eastAsia="仿宋_GB2312" w:cs="Times New Roman"/>
          <w:kern w:val="2"/>
          <w:sz w:val="24"/>
          <w:szCs w:val="24"/>
          <w:highlight w:val="none"/>
          <w:lang w:val="en-US" w:eastAsia="zh-CN" w:bidi="ar-SA"/>
        </w:rPr>
        <w:t xml:space="preserve"> 采用月度定期评价、年度综合评价相结合的方式对供应商进行动态评价，评价结果作为供应商停用，竞价供应商报价相同时的选定、合同量分配，煤款支付顺序确定</w:t>
      </w:r>
      <w:r>
        <w:rPr>
          <w:rFonts w:hint="eastAsia" w:hAnsi="Times New Roman" w:eastAsia="仿宋_GB2312" w:cs="Times New Roman"/>
          <w:kern w:val="2"/>
          <w:sz w:val="24"/>
          <w:szCs w:val="24"/>
          <w:highlight w:val="none"/>
          <w:lang w:val="en-US" w:eastAsia="zh-CN" w:bidi="ar-SA"/>
        </w:rPr>
        <w:t>、</w:t>
      </w:r>
      <w:r>
        <w:rPr>
          <w:rFonts w:hint="eastAsia" w:ascii="仿宋_GB2312" w:hAnsi="Times New Roman" w:eastAsia="仿宋_GB2312" w:cs="Times New Roman"/>
          <w:kern w:val="2"/>
          <w:sz w:val="24"/>
          <w:szCs w:val="24"/>
          <w:highlight w:val="none"/>
          <w:lang w:val="en-US" w:eastAsia="zh-CN" w:bidi="ar-SA"/>
        </w:rPr>
        <w:t>次年年度采购计划等业务的重要参考依据。</w:t>
      </w:r>
    </w:p>
    <w:p w14:paraId="73BFBDB5">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第十一条</w:t>
      </w:r>
      <w:r>
        <w:rPr>
          <w:rFonts w:hint="eastAsia" w:ascii="仿宋_GB2312" w:hAnsi="Times New Roman" w:eastAsia="仿宋_GB2312" w:cs="Times New Roman"/>
          <w:kern w:val="2"/>
          <w:sz w:val="24"/>
          <w:szCs w:val="24"/>
          <w:highlight w:val="none"/>
          <w:lang w:val="en-US" w:eastAsia="zh-CN" w:bidi="ar-SA"/>
        </w:rPr>
        <w:t xml:space="preserve"> </w:t>
      </w:r>
      <w:r>
        <w:rPr>
          <w:rFonts w:hint="eastAsia" w:hAnsi="Times New Roman" w:eastAsia="仿宋_GB2312" w:cs="Times New Roman"/>
          <w:kern w:val="2"/>
          <w:sz w:val="24"/>
          <w:szCs w:val="24"/>
          <w:highlight w:val="none"/>
          <w:lang w:val="en-US" w:eastAsia="zh-CN" w:bidi="ar-SA"/>
        </w:rPr>
        <w:t>以</w:t>
      </w:r>
      <w:r>
        <w:rPr>
          <w:rFonts w:hint="eastAsia" w:ascii="仿宋_GB2312" w:hAnsi="Times New Roman" w:eastAsia="仿宋_GB2312" w:cs="Times New Roman"/>
          <w:kern w:val="2"/>
          <w:sz w:val="24"/>
          <w:szCs w:val="24"/>
          <w:highlight w:val="none"/>
          <w:lang w:val="en-US" w:eastAsia="zh-CN" w:bidi="ar-SA"/>
        </w:rPr>
        <w:t>统一管控平台在线评价指标体系，作为供应商评价的统一标准。</w:t>
      </w:r>
    </w:p>
    <w:p w14:paraId="0567047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仿宋_GB2312" w:eastAsia="仿宋_GB2312" w:cs="仿宋_GB2312"/>
          <w:b w:val="0"/>
          <w:bCs/>
          <w:kern w:val="2"/>
          <w:sz w:val="24"/>
          <w:szCs w:val="24"/>
          <w:highlight w:val="none"/>
          <w:lang w:val="en-US" w:eastAsia="zh-CN" w:bidi="ar-SA"/>
        </w:rPr>
      </w:pPr>
      <w:r>
        <w:rPr>
          <w:rFonts w:hint="eastAsia" w:ascii="仿宋_GB2312" w:hAnsi="仿宋_GB2312" w:eastAsia="仿宋_GB2312" w:cs="仿宋_GB2312"/>
          <w:b w:val="0"/>
          <w:bCs/>
          <w:kern w:val="2"/>
          <w:sz w:val="24"/>
          <w:szCs w:val="24"/>
          <w:highlight w:val="none"/>
          <w:lang w:val="en-US" w:eastAsia="zh-CN" w:bidi="ar-SA"/>
        </w:rPr>
        <w:t>（一）供应商评价指标包括但不限于以下指标：</w:t>
      </w:r>
    </w:p>
    <w:p w14:paraId="01034DCC">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default"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主观指标：资源保障能力、运输能力、守法诚信情况、需求响应及配合接卸情况等</w:t>
      </w:r>
      <w:r>
        <w:rPr>
          <w:rFonts w:hint="eastAsia" w:hAnsi="Times New Roman" w:eastAsia="仿宋_GB2312" w:cs="Times New Roman"/>
          <w:kern w:val="2"/>
          <w:sz w:val="24"/>
          <w:szCs w:val="24"/>
          <w:highlight w:val="none"/>
          <w:lang w:val="en-US" w:eastAsia="zh-CN" w:bidi="ar-SA"/>
        </w:rPr>
        <w:t>。</w:t>
      </w:r>
    </w:p>
    <w:p w14:paraId="0888806F">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客观指标：合同履约率、煤炭品质偏差率、业务量占比、价格排名等。</w:t>
      </w:r>
    </w:p>
    <w:p w14:paraId="5BE49EDA">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w:t>
      </w:r>
      <w:r>
        <w:rPr>
          <w:rFonts w:hint="eastAsia" w:hAnsi="仿宋_GB2312" w:eastAsia="仿宋_GB2312" w:cs="仿宋_GB2312"/>
          <w:bCs w:val="0"/>
          <w:color w:val="auto"/>
          <w:kern w:val="2"/>
          <w:sz w:val="24"/>
          <w:szCs w:val="24"/>
          <w:lang w:val="en-US" w:eastAsia="zh-CN" w:bidi="ar-SA"/>
        </w:rPr>
        <w:t>月度评价采用客观指标量化打分方式（在燃料业务统一管控平台自动生成，根据实际情况进行部分调整）；</w:t>
      </w:r>
      <w:r>
        <w:rPr>
          <w:rFonts w:hint="eastAsia" w:ascii="仿宋_GB2312" w:hAnsi="Times New Roman" w:eastAsia="仿宋_GB2312" w:cs="Times New Roman"/>
          <w:kern w:val="2"/>
          <w:sz w:val="24"/>
          <w:szCs w:val="24"/>
          <w:highlight w:val="none"/>
          <w:lang w:val="en-US" w:eastAsia="zh-CN" w:bidi="ar-SA"/>
        </w:rPr>
        <w:t>年度综合得分为月度评价得分的加权平均值。</w:t>
      </w:r>
    </w:p>
    <w:p w14:paraId="177CD15A">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（三）根据评价得分结果，将供应商评定为优质（得分≥90）、良好（80≤得分＜90）、合格（60≤得分＜80）、不合格（得分＜60）四个信誉等级。</w:t>
      </w:r>
    </w:p>
    <w:p w14:paraId="7FD5AE6D">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kern w:val="2"/>
          <w:sz w:val="24"/>
          <w:szCs w:val="24"/>
          <w:highlight w:val="none"/>
          <w:lang w:val="en-US" w:eastAsia="zh-CN" w:bidi="ar-SA"/>
        </w:rPr>
      </w:pPr>
    </w:p>
    <w:p w14:paraId="70D8F49E">
      <w:pPr>
        <w:keepNext w:val="0"/>
        <w:keepLines w:val="0"/>
        <w:pageBreakBefore w:val="0"/>
        <w:widowControl w:val="0"/>
        <w:numPr>
          <w:ilvl w:val="0"/>
          <w:numId w:val="6"/>
        </w:numPr>
        <w:kinsoku/>
        <w:wordWrap/>
        <w:overflowPunct/>
        <w:topLinePunct w:val="0"/>
        <w:autoSpaceDE/>
        <w:autoSpaceDN/>
        <w:bidi w:val="0"/>
        <w:adjustRightInd/>
        <w:spacing w:line="240" w:lineRule="auto"/>
        <w:ind w:left="0" w:leftChars="0" w:firstLine="0" w:firstLineChars="0"/>
        <w:jc w:val="center"/>
        <w:textAlignment w:val="auto"/>
        <w:outlineLvl w:val="0"/>
        <w:rPr>
          <w:rFonts w:hint="eastAsia" w:ascii="黑体" w:hAnsi="黑体" w:eastAsia="黑体" w:cs="黑体"/>
          <w:b/>
          <w:bCs/>
          <w:kern w:val="0"/>
          <w:sz w:val="24"/>
          <w:szCs w:val="24"/>
          <w:highlight w:val="none"/>
          <w:lang w:val="en-US" w:eastAsia="zh-CN" w:bidi="ar-SA"/>
        </w:rPr>
      </w:pPr>
      <w:r>
        <w:rPr>
          <w:rFonts w:hint="eastAsia" w:ascii="黑体" w:hAnsi="黑体" w:eastAsia="黑体" w:cs="黑体"/>
          <w:b/>
          <w:bCs/>
          <w:kern w:val="0"/>
          <w:sz w:val="24"/>
          <w:szCs w:val="24"/>
          <w:highlight w:val="none"/>
          <w:lang w:val="en-US" w:eastAsia="zh-CN" w:bidi="ar-SA"/>
        </w:rPr>
        <w:t>供应商的停用和启用</w:t>
      </w:r>
    </w:p>
    <w:p w14:paraId="13D596F4">
      <w:pPr>
        <w:keepNext w:val="0"/>
        <w:keepLines w:val="0"/>
        <w:pageBreakBefore w:val="0"/>
        <w:widowControl w:val="0"/>
        <w:numPr>
          <w:ilvl w:val="0"/>
          <w:numId w:val="0"/>
        </w:numPr>
        <w:kinsoku/>
        <w:wordWrap/>
        <w:overflowPunct/>
        <w:topLinePunct w:val="0"/>
        <w:autoSpaceDE/>
        <w:autoSpaceDN/>
        <w:bidi w:val="0"/>
        <w:adjustRightInd/>
        <w:spacing w:line="240" w:lineRule="auto"/>
        <w:ind w:leftChars="0"/>
        <w:jc w:val="both"/>
        <w:textAlignment w:val="auto"/>
        <w:outlineLvl w:val="0"/>
        <w:rPr>
          <w:rFonts w:hint="eastAsia" w:ascii="黑体" w:hAnsi="黑体" w:eastAsia="黑体" w:cs="黑体"/>
          <w:b/>
          <w:bCs/>
          <w:kern w:val="0"/>
          <w:sz w:val="24"/>
          <w:szCs w:val="24"/>
          <w:highlight w:val="none"/>
          <w:lang w:val="en-US" w:eastAsia="zh-CN" w:bidi="ar-SA"/>
        </w:rPr>
      </w:pPr>
    </w:p>
    <w:p w14:paraId="46D9B73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第十二条</w:t>
      </w:r>
      <w:r>
        <w:rPr>
          <w:rFonts w:hint="eastAsia" w:ascii="仿宋_GB2312" w:hAnsi="Times New Roman" w:eastAsia="仿宋_GB2312" w:cs="Times New Roman"/>
          <w:kern w:val="2"/>
          <w:sz w:val="24"/>
          <w:szCs w:val="24"/>
          <w:highlight w:val="none"/>
          <w:lang w:val="en-US" w:eastAsia="zh-CN" w:bidi="ar-SA"/>
        </w:rPr>
        <w:t xml:space="preserve"> </w:t>
      </w:r>
      <w:r>
        <w:rPr>
          <w:rFonts w:hint="eastAsia" w:ascii="仿宋_GB2312" w:hAnsi="仿宋_GB2312" w:eastAsia="仿宋_GB2312" w:cs="仿宋_GB2312"/>
          <w:kern w:val="2"/>
          <w:sz w:val="24"/>
          <w:szCs w:val="24"/>
          <w:highlight w:val="none"/>
          <w:lang w:val="en-US" w:eastAsia="zh-CN" w:bidi="ar-SA"/>
        </w:rPr>
        <w:t>供应商的“冻结”</w:t>
      </w:r>
    </w:p>
    <w:p w14:paraId="07604462">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仿宋_GB2312" w:eastAsia="仿宋_GB2312" w:cs="仿宋_GB2312"/>
          <w:b w:val="0"/>
          <w:bCs/>
          <w:kern w:val="2"/>
          <w:sz w:val="24"/>
          <w:szCs w:val="24"/>
          <w:highlight w:val="none"/>
          <w:lang w:val="en-US" w:eastAsia="zh-CN" w:bidi="ar-SA"/>
        </w:rPr>
      </w:pPr>
      <w:r>
        <w:rPr>
          <w:rFonts w:hint="eastAsia" w:ascii="仿宋_GB2312" w:hAnsi="仿宋_GB2312" w:eastAsia="仿宋_GB2312" w:cs="仿宋_GB2312"/>
          <w:b w:val="0"/>
          <w:bCs/>
          <w:kern w:val="2"/>
          <w:sz w:val="24"/>
          <w:szCs w:val="24"/>
          <w:highlight w:val="none"/>
          <w:lang w:val="en-US" w:eastAsia="zh-CN" w:bidi="ar-SA"/>
        </w:rPr>
        <w:t>（一）供应商被冻结后，不准参与竞价报价、不得列入采购计划和签订合同。</w:t>
      </w:r>
    </w:p>
    <w:p w14:paraId="36226DC6">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仿宋_GB2312" w:eastAsia="仿宋_GB2312" w:cs="仿宋_GB2312"/>
          <w:b w:val="0"/>
          <w:bCs/>
          <w:kern w:val="2"/>
          <w:sz w:val="24"/>
          <w:szCs w:val="24"/>
          <w:highlight w:val="none"/>
          <w:lang w:val="en-US" w:eastAsia="zh-CN" w:bidi="ar-SA"/>
        </w:rPr>
      </w:pPr>
      <w:r>
        <w:rPr>
          <w:rFonts w:hint="eastAsia" w:ascii="仿宋_GB2312" w:hAnsi="仿宋_GB2312" w:eastAsia="仿宋_GB2312" w:cs="仿宋_GB2312"/>
          <w:b w:val="0"/>
          <w:bCs/>
          <w:kern w:val="2"/>
          <w:sz w:val="24"/>
          <w:szCs w:val="24"/>
          <w:highlight w:val="none"/>
          <w:lang w:val="en-US" w:eastAsia="zh-CN" w:bidi="ar-SA"/>
        </w:rPr>
        <w:t>（二）大唐延安热电厂手动冻结</w:t>
      </w:r>
    </w:p>
    <w:p w14:paraId="31D38F3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发现供应商有下列行为之一的，应在5个工作日内申请对供应商进行冻结，情节严重的，可申请在陕西公司或集团公司范围内进行冻结。经综合评估确定不进行冻结的，必须经</w:t>
      </w:r>
      <w:r>
        <w:rPr>
          <w:rFonts w:hint="eastAsia" w:hAnsi="Times New Roman" w:eastAsia="仿宋_GB2312" w:cs="Times New Roman"/>
          <w:kern w:val="2"/>
          <w:sz w:val="24"/>
          <w:szCs w:val="24"/>
          <w:highlight w:val="none"/>
          <w:lang w:val="en-US" w:eastAsia="zh-CN" w:bidi="ar-SA"/>
        </w:rPr>
        <w:t>燃料采购领导小组</w:t>
      </w:r>
      <w:r>
        <w:rPr>
          <w:rFonts w:hint="eastAsia" w:ascii="仿宋_GB2312" w:hAnsi="Times New Roman" w:eastAsia="仿宋_GB2312" w:cs="Times New Roman"/>
          <w:kern w:val="2"/>
          <w:sz w:val="24"/>
          <w:szCs w:val="24"/>
          <w:highlight w:val="none"/>
          <w:lang w:val="en-US" w:eastAsia="zh-CN" w:bidi="ar-SA"/>
        </w:rPr>
        <w:t>研究同意。</w:t>
      </w:r>
    </w:p>
    <w:p w14:paraId="310B1D2F">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1.年度内累计2次报价不实（价格明显偏高）、成交后无故不签订合同或签订合同后不履约的</w:t>
      </w:r>
      <w:r>
        <w:rPr>
          <w:rFonts w:hint="eastAsia" w:hAnsi="Times New Roman" w:eastAsia="仿宋_GB2312" w:cs="Times New Roman"/>
          <w:kern w:val="2"/>
          <w:sz w:val="24"/>
          <w:szCs w:val="24"/>
          <w:highlight w:val="none"/>
          <w:lang w:val="en-US" w:eastAsia="zh-CN" w:bidi="ar-SA"/>
        </w:rPr>
        <w:t>。</w:t>
      </w:r>
    </w:p>
    <w:p w14:paraId="0B053C14">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2.由于供应商原因合同兑现率</w:t>
      </w:r>
      <w:r>
        <w:rPr>
          <w:rFonts w:hint="eastAsia" w:ascii="仿宋_GB2312" w:hAnsi="宋体" w:eastAsia="仿宋_GB2312"/>
          <w:color w:val="auto"/>
          <w:sz w:val="24"/>
          <w:szCs w:val="24"/>
          <w:highlight w:val="none"/>
          <w:lang w:val="en-US" w:eastAsia="zh-CN"/>
        </w:rPr>
        <w:t>不足20%</w:t>
      </w:r>
      <w:r>
        <w:rPr>
          <w:rFonts w:hint="eastAsia" w:ascii="仿宋_GB2312" w:hAnsi="Times New Roman" w:eastAsia="仿宋_GB2312" w:cs="Times New Roman"/>
          <w:kern w:val="2"/>
          <w:sz w:val="24"/>
          <w:szCs w:val="24"/>
          <w:highlight w:val="none"/>
          <w:lang w:val="en-US" w:eastAsia="zh-CN" w:bidi="ar-SA"/>
        </w:rPr>
        <w:t>的</w:t>
      </w:r>
      <w:r>
        <w:rPr>
          <w:rFonts w:hint="eastAsia" w:hAnsi="Times New Roman" w:eastAsia="仿宋_GB2312" w:cs="Times New Roman"/>
          <w:kern w:val="2"/>
          <w:sz w:val="24"/>
          <w:szCs w:val="24"/>
          <w:highlight w:val="none"/>
          <w:lang w:val="en-US" w:eastAsia="zh-CN" w:bidi="ar-SA"/>
        </w:rPr>
        <w:t>。</w:t>
      </w:r>
    </w:p>
    <w:p w14:paraId="6F4C9B8E">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3.经营情况严重恶化、丧失商业信誉、被法院列为失信被执行人，或资质条件不再满足要求、存在不履行或不能履行可能性的</w:t>
      </w:r>
      <w:r>
        <w:rPr>
          <w:rFonts w:hint="eastAsia" w:hAnsi="Times New Roman" w:eastAsia="仿宋_GB2312" w:cs="Times New Roman"/>
          <w:kern w:val="2"/>
          <w:sz w:val="24"/>
          <w:szCs w:val="24"/>
          <w:highlight w:val="none"/>
          <w:lang w:val="en-US" w:eastAsia="zh-CN" w:bidi="ar-SA"/>
        </w:rPr>
        <w:t>。</w:t>
      </w:r>
    </w:p>
    <w:p w14:paraId="5DD2724E">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hAnsi="宋体" w:eastAsia="仿宋_GB2312"/>
          <w:color w:val="auto"/>
          <w:sz w:val="24"/>
          <w:szCs w:val="24"/>
          <w:highlight w:val="none"/>
          <w:lang w:val="en-US" w:eastAsia="zh-CN"/>
        </w:rPr>
      </w:pPr>
      <w:r>
        <w:rPr>
          <w:rFonts w:hint="eastAsia" w:ascii="仿宋_GB2312" w:hAnsi="Times New Roman" w:eastAsia="仿宋_GB2312" w:cs="Times New Roman"/>
          <w:kern w:val="2"/>
          <w:sz w:val="24"/>
          <w:szCs w:val="24"/>
          <w:highlight w:val="none"/>
          <w:lang w:val="en-US" w:eastAsia="zh-CN" w:bidi="ar-SA"/>
        </w:rPr>
        <w:t>4.</w:t>
      </w:r>
      <w:r>
        <w:rPr>
          <w:rFonts w:hint="eastAsia" w:ascii="仿宋_GB2312" w:hAnsi="宋体" w:eastAsia="仿宋_GB2312"/>
          <w:color w:val="auto"/>
          <w:sz w:val="24"/>
          <w:szCs w:val="24"/>
          <w:highlight w:val="none"/>
          <w:lang w:val="en-US" w:eastAsia="zh-CN"/>
        </w:rPr>
        <w:t>竞价成交后不按期缴纳平台服务费、履约保证金等情况</w:t>
      </w:r>
      <w:r>
        <w:rPr>
          <w:rFonts w:hint="eastAsia" w:hAnsi="宋体" w:eastAsia="仿宋_GB2312"/>
          <w:color w:val="auto"/>
          <w:sz w:val="24"/>
          <w:szCs w:val="24"/>
          <w:highlight w:val="none"/>
          <w:lang w:val="en-US" w:eastAsia="zh-CN"/>
        </w:rPr>
        <w:t>。</w:t>
      </w:r>
    </w:p>
    <w:p w14:paraId="0C9F700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sz w:val="24"/>
          <w:szCs w:val="24"/>
          <w:lang w:val="en-US" w:eastAsia="zh-CN"/>
        </w:rPr>
      </w:pPr>
      <w:r>
        <w:rPr>
          <w:rFonts w:hint="eastAsia" w:ascii="仿宋_GB2312" w:hAnsi="仿宋_GB2312" w:eastAsia="仿宋_GB2312" w:cs="仿宋_GB2312"/>
          <w:color w:val="auto"/>
          <w:sz w:val="24"/>
          <w:szCs w:val="24"/>
          <w:lang w:val="en-US" w:eastAsia="zh-CN"/>
        </w:rPr>
        <w:t>5.竞价成交后放弃或在接到燃料物资部调运计划后无法在2日内调运电煤到厂等情况。</w:t>
      </w:r>
    </w:p>
    <w:p w14:paraId="16EA5A7A">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hAnsi="宋体" w:eastAsia="仿宋_GB2312"/>
          <w:color w:val="auto"/>
          <w:sz w:val="24"/>
          <w:szCs w:val="24"/>
          <w:highlight w:val="none"/>
          <w:lang w:val="en-US" w:eastAsia="zh-CN"/>
        </w:rPr>
        <w:t>6.</w:t>
      </w:r>
      <w:r>
        <w:rPr>
          <w:rFonts w:hint="eastAsia" w:ascii="仿宋_GB2312" w:hAnsi="Times New Roman" w:eastAsia="仿宋_GB2312" w:cs="Times New Roman"/>
          <w:kern w:val="2"/>
          <w:sz w:val="24"/>
          <w:szCs w:val="24"/>
          <w:highlight w:val="none"/>
          <w:lang w:val="en-US" w:eastAsia="zh-CN" w:bidi="ar-SA"/>
        </w:rPr>
        <w:t>具有其他不良行为应该冻结的。</w:t>
      </w:r>
    </w:p>
    <w:p w14:paraId="5FFCDF17">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仿宋_GB2312" w:eastAsia="仿宋_GB2312" w:cs="仿宋_GB2312"/>
          <w:b w:val="0"/>
          <w:bCs/>
          <w:kern w:val="2"/>
          <w:sz w:val="24"/>
          <w:szCs w:val="24"/>
          <w:highlight w:val="none"/>
          <w:lang w:val="en-US" w:eastAsia="zh-CN" w:bidi="ar-SA"/>
        </w:rPr>
      </w:pPr>
      <w:r>
        <w:rPr>
          <w:rFonts w:hint="eastAsia" w:ascii="仿宋_GB2312" w:hAnsi="仿宋_GB2312" w:eastAsia="仿宋_GB2312" w:cs="仿宋_GB2312"/>
          <w:b w:val="0"/>
          <w:bCs/>
          <w:kern w:val="2"/>
          <w:sz w:val="24"/>
          <w:szCs w:val="24"/>
          <w:highlight w:val="none"/>
          <w:lang w:val="en-US" w:eastAsia="zh-CN" w:bidi="ar-SA"/>
        </w:rPr>
        <w:t>（三）统一管控平台自动冻结</w:t>
      </w:r>
    </w:p>
    <w:p w14:paraId="2B985E68">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1.供应商连续一年未和集团公司内企业开展业务的，自动进入冻结状态（不包括为统一管理需要入库的煤炭企业集团）。</w:t>
      </w:r>
    </w:p>
    <w:p w14:paraId="7B205E03">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2.供应商月度、年度评价不合格的自动冻结。</w:t>
      </w:r>
    </w:p>
    <w:p w14:paraId="3F8A2A1E">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仿宋_GB2312" w:eastAsia="仿宋_GB2312" w:cs="仿宋_GB2312"/>
          <w:b w:val="0"/>
          <w:bCs/>
          <w:kern w:val="2"/>
          <w:sz w:val="24"/>
          <w:szCs w:val="24"/>
          <w:highlight w:val="none"/>
          <w:lang w:val="en-US" w:eastAsia="zh-CN" w:bidi="ar-SA"/>
        </w:rPr>
      </w:pPr>
      <w:r>
        <w:rPr>
          <w:rFonts w:hint="eastAsia" w:ascii="仿宋_GB2312" w:hAnsi="仿宋_GB2312" w:eastAsia="仿宋_GB2312" w:cs="仿宋_GB2312"/>
          <w:b w:val="0"/>
          <w:bCs/>
          <w:kern w:val="2"/>
          <w:sz w:val="24"/>
          <w:szCs w:val="24"/>
          <w:highlight w:val="none"/>
          <w:lang w:val="en-US" w:eastAsia="zh-CN" w:bidi="ar-SA"/>
        </w:rPr>
        <w:t>（四）冻结期限</w:t>
      </w:r>
    </w:p>
    <w:p w14:paraId="38EAD5A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1.对供应商冻结的期限为</w:t>
      </w:r>
      <w:r>
        <w:rPr>
          <w:rFonts w:hint="eastAsia" w:hAnsi="Times New Roman" w:eastAsia="仿宋_GB2312" w:cs="Times New Roman"/>
          <w:kern w:val="2"/>
          <w:sz w:val="24"/>
          <w:szCs w:val="24"/>
          <w:highlight w:val="none"/>
          <w:lang w:val="en-US" w:eastAsia="zh-CN" w:bidi="ar-SA"/>
        </w:rPr>
        <w:t>3</w:t>
      </w:r>
      <w:r>
        <w:rPr>
          <w:rFonts w:hint="eastAsia" w:ascii="仿宋_GB2312" w:hAnsi="Times New Roman" w:eastAsia="仿宋_GB2312" w:cs="Times New Roman"/>
          <w:kern w:val="2"/>
          <w:sz w:val="24"/>
          <w:szCs w:val="24"/>
          <w:highlight w:val="none"/>
          <w:lang w:val="en-US" w:eastAsia="zh-CN" w:bidi="ar-SA"/>
        </w:rPr>
        <w:t>个月。</w:t>
      </w:r>
    </w:p>
    <w:p w14:paraId="7A143416">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2.供应商在连续12个月内，月度评价累计第一次为不合格的停用2个月，累计两次及以上为不合格的冻结期限为6个月；供应商年度综合评价不合格的，</w:t>
      </w:r>
      <w:r>
        <w:rPr>
          <w:rFonts w:hint="eastAsia" w:hAnsi="Times New Roman" w:eastAsia="仿宋_GB2312" w:cs="Times New Roman"/>
          <w:kern w:val="2"/>
          <w:sz w:val="24"/>
          <w:szCs w:val="24"/>
          <w:highlight w:val="none"/>
          <w:lang w:val="en-US" w:eastAsia="zh-CN" w:bidi="ar-SA"/>
        </w:rPr>
        <w:t>上报陕西公司</w:t>
      </w:r>
      <w:r>
        <w:rPr>
          <w:rFonts w:hint="eastAsia" w:ascii="仿宋_GB2312" w:hAnsi="Times New Roman" w:eastAsia="仿宋_GB2312" w:cs="Times New Roman"/>
          <w:kern w:val="2"/>
          <w:sz w:val="24"/>
          <w:szCs w:val="24"/>
          <w:highlight w:val="none"/>
          <w:lang w:val="en-US" w:eastAsia="zh-CN" w:bidi="ar-SA"/>
        </w:rPr>
        <w:t>冻结期限为12个月。</w:t>
      </w:r>
    </w:p>
    <w:p w14:paraId="1679A53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3.连续一年未开展业务的，冻结期限至供应商或</w:t>
      </w:r>
      <w:r>
        <w:rPr>
          <w:rFonts w:hint="eastAsia" w:hAnsi="Times New Roman" w:cs="Times New Roman"/>
          <w:kern w:val="2"/>
          <w:sz w:val="24"/>
          <w:szCs w:val="24"/>
          <w:highlight w:val="none"/>
          <w:lang w:val="en-US" w:eastAsia="zh-CN" w:bidi="ar-SA"/>
        </w:rPr>
        <w:t>甲方</w:t>
      </w:r>
      <w:r>
        <w:rPr>
          <w:rFonts w:hint="eastAsia" w:ascii="仿宋_GB2312" w:hAnsi="Times New Roman" w:eastAsia="仿宋_GB2312" w:cs="Times New Roman"/>
          <w:kern w:val="2"/>
          <w:sz w:val="24"/>
          <w:szCs w:val="24"/>
          <w:highlight w:val="none"/>
          <w:lang w:val="en-US" w:eastAsia="zh-CN" w:bidi="ar-SA"/>
        </w:rPr>
        <w:t>重新提出准入申请。</w:t>
      </w:r>
    </w:p>
    <w:p w14:paraId="34DCC225">
      <w:pPr>
        <w:pageBreakBefore w:val="0"/>
        <w:widowControl w:val="0"/>
        <w:kinsoku/>
        <w:wordWrap/>
        <w:overflowPunct/>
        <w:topLinePunct w:val="0"/>
        <w:autoSpaceDE/>
        <w:autoSpaceDN/>
        <w:bidi w:val="0"/>
        <w:spacing w:line="240" w:lineRule="auto"/>
        <w:ind w:firstLine="480" w:firstLineChars="200"/>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4.因欠缴</w:t>
      </w:r>
      <w:r>
        <w:rPr>
          <w:rFonts w:hint="eastAsia" w:ascii="仿宋_GB2312" w:hAnsi="宋体" w:eastAsia="仿宋_GB2312"/>
          <w:color w:val="auto"/>
          <w:sz w:val="24"/>
          <w:szCs w:val="24"/>
          <w:highlight w:val="none"/>
          <w:lang w:val="en-US" w:eastAsia="zh-CN"/>
        </w:rPr>
        <w:t>平台服务费</w:t>
      </w:r>
      <w:r>
        <w:rPr>
          <w:rFonts w:hint="eastAsia" w:ascii="仿宋_GB2312" w:hAnsi="Times New Roman" w:eastAsia="仿宋_GB2312" w:cs="Times New Roman"/>
          <w:kern w:val="2"/>
          <w:sz w:val="24"/>
          <w:szCs w:val="24"/>
          <w:highlight w:val="none"/>
          <w:lang w:val="en-US" w:eastAsia="zh-CN" w:bidi="ar-SA"/>
        </w:rPr>
        <w:t>冻结的，冻结期限至服务费足额缴纳后止。</w:t>
      </w:r>
    </w:p>
    <w:p w14:paraId="77AF6543">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default"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5.经燃料质检部确认为严重煤质异常的</w:t>
      </w:r>
      <w:r>
        <w:rPr>
          <w:rFonts w:hint="eastAsia" w:hAnsi="Times New Roman" w:eastAsia="仿宋_GB2312" w:cs="Times New Roman"/>
          <w:kern w:val="2"/>
          <w:sz w:val="24"/>
          <w:szCs w:val="24"/>
          <w:highlight w:val="none"/>
          <w:lang w:val="en-US" w:eastAsia="zh-CN" w:bidi="ar-SA"/>
        </w:rPr>
        <w:t>。</w:t>
      </w:r>
    </w:p>
    <w:p w14:paraId="57CDC61C">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第十三</w:t>
      </w:r>
      <w:r>
        <w:rPr>
          <w:rFonts w:hint="eastAsia" w:ascii="黑体" w:hAnsi="黑体" w:eastAsia="黑体" w:cs="黑体"/>
          <w:kern w:val="2"/>
          <w:sz w:val="24"/>
          <w:szCs w:val="24"/>
          <w:highlight w:val="none"/>
          <w:lang w:val="en-US" w:eastAsia="zh-CN" w:bidi="ar-SA"/>
        </w:rPr>
        <w:t xml:space="preserve">条 </w:t>
      </w:r>
      <w:r>
        <w:rPr>
          <w:rFonts w:hint="eastAsia" w:ascii="仿宋_GB2312" w:hAnsi="仿宋_GB2312" w:eastAsia="仿宋_GB2312" w:cs="仿宋_GB2312"/>
          <w:kern w:val="2"/>
          <w:sz w:val="24"/>
          <w:szCs w:val="24"/>
          <w:highlight w:val="none"/>
          <w:lang w:val="en-US" w:eastAsia="zh-CN" w:bidi="ar-SA"/>
        </w:rPr>
        <w:t>供应商“黑名单”</w:t>
      </w:r>
    </w:p>
    <w:p w14:paraId="05FB71F9">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发现供应商有下列行为之一的，应在5个工作日内申请将其列入集团公司“黑名单”，经陕西公司复核后，报集团公司认定，并在集团公司法务系统中备案。经综合评估确定不申请列入“黑名单”的，必须经陕</w:t>
      </w:r>
      <w:r>
        <w:rPr>
          <w:rFonts w:hint="eastAsia" w:hAnsi="Times New Roman" w:eastAsia="仿宋_GB2312" w:cs="Times New Roman"/>
          <w:kern w:val="2"/>
          <w:sz w:val="24"/>
          <w:szCs w:val="24"/>
          <w:highlight w:val="none"/>
          <w:lang w:val="en-US" w:eastAsia="zh-CN" w:bidi="ar-SA"/>
        </w:rPr>
        <w:t>燃料采购领导小组</w:t>
      </w:r>
      <w:r>
        <w:rPr>
          <w:rFonts w:hint="eastAsia" w:ascii="仿宋_GB2312" w:hAnsi="Times New Roman" w:eastAsia="仿宋_GB2312" w:cs="Times New Roman"/>
          <w:kern w:val="2"/>
          <w:sz w:val="24"/>
          <w:szCs w:val="24"/>
          <w:highlight w:val="none"/>
          <w:lang w:val="en-US" w:eastAsia="zh-CN" w:bidi="ar-SA"/>
        </w:rPr>
        <w:t>研究同意。供应商被列入“黑名单”后，禁止其列入采购计划，或参与竞价报价、签订煤炭合同等。</w:t>
      </w:r>
    </w:p>
    <w:p w14:paraId="65344A9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（一）</w:t>
      </w:r>
      <w:r>
        <w:rPr>
          <w:rFonts w:hint="eastAsia" w:ascii="仿宋_GB2312" w:hAnsi="Times New Roman" w:eastAsia="仿宋_GB2312" w:cs="Times New Roman"/>
          <w:kern w:val="2"/>
          <w:sz w:val="24"/>
          <w:szCs w:val="24"/>
          <w:highlight w:val="none"/>
          <w:lang w:val="zh-CN" w:eastAsia="zh-CN" w:bidi="ar-SA"/>
        </w:rPr>
        <w:t>因合同签订或履行，给</w:t>
      </w:r>
      <w:r>
        <w:rPr>
          <w:rFonts w:hint="eastAsia" w:ascii="仿宋_GB2312" w:hAnsi="仿宋_GB2312" w:eastAsia="仿宋_GB2312" w:cs="仿宋_GB2312"/>
          <w:color w:val="auto"/>
          <w:sz w:val="24"/>
          <w:szCs w:val="24"/>
          <w:lang w:eastAsia="zh-CN"/>
        </w:rPr>
        <w:t>延安热电厂</w:t>
      </w:r>
      <w:r>
        <w:rPr>
          <w:rFonts w:hint="eastAsia" w:ascii="仿宋_GB2312" w:hAnsi="Times New Roman" w:eastAsia="仿宋_GB2312" w:cs="Times New Roman"/>
          <w:kern w:val="2"/>
          <w:sz w:val="24"/>
          <w:szCs w:val="24"/>
          <w:highlight w:val="none"/>
          <w:lang w:val="zh-CN" w:eastAsia="zh-CN" w:bidi="ar-SA"/>
        </w:rPr>
        <w:t>造成</w:t>
      </w:r>
      <w:r>
        <w:rPr>
          <w:rFonts w:hint="eastAsia" w:ascii="仿宋_GB2312" w:hAnsi="Times New Roman" w:eastAsia="仿宋_GB2312" w:cs="Times New Roman"/>
          <w:kern w:val="2"/>
          <w:sz w:val="24"/>
          <w:szCs w:val="24"/>
          <w:highlight w:val="none"/>
          <w:lang w:val="en-US" w:eastAsia="zh-CN" w:bidi="ar-SA"/>
        </w:rPr>
        <w:t>直接和间接损失超过50万元</w:t>
      </w:r>
      <w:r>
        <w:rPr>
          <w:rFonts w:hint="eastAsia" w:ascii="仿宋_GB2312" w:hAnsi="Times New Roman" w:eastAsia="仿宋_GB2312" w:cs="Times New Roman"/>
          <w:kern w:val="2"/>
          <w:sz w:val="24"/>
          <w:szCs w:val="24"/>
          <w:highlight w:val="none"/>
          <w:lang w:val="zh-CN" w:eastAsia="zh-CN" w:bidi="ar-SA"/>
        </w:rPr>
        <w:t>或造成缺煤限负荷、影响安全生产等不良后果的</w:t>
      </w:r>
      <w:r>
        <w:rPr>
          <w:rFonts w:hint="eastAsia" w:hAnsi="Times New Roman" w:eastAsia="仿宋_GB2312" w:cs="Times New Roman"/>
          <w:kern w:val="2"/>
          <w:sz w:val="24"/>
          <w:szCs w:val="24"/>
          <w:highlight w:val="none"/>
          <w:lang w:val="zh-CN" w:eastAsia="zh-CN" w:bidi="ar-SA"/>
        </w:rPr>
        <w:t>。</w:t>
      </w:r>
    </w:p>
    <w:p w14:paraId="375B6AD0">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（二）竞价过程中串通报价，或恶意压低报价后不签约或履约率不足30%</w:t>
      </w:r>
      <w:r>
        <w:rPr>
          <w:rFonts w:hint="eastAsia" w:hAnsi="Times New Roman" w:eastAsia="仿宋_GB2312" w:cs="Times New Roman"/>
          <w:kern w:val="2"/>
          <w:sz w:val="24"/>
          <w:szCs w:val="24"/>
          <w:highlight w:val="none"/>
          <w:lang w:val="en-US" w:eastAsia="zh-CN" w:bidi="ar-SA"/>
        </w:rPr>
        <w:t>。</w:t>
      </w:r>
    </w:p>
    <w:p w14:paraId="4EEED591">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（三）弄虚作假或违规准入造成不良影响，给</w:t>
      </w:r>
      <w:r>
        <w:rPr>
          <w:rFonts w:hint="eastAsia" w:hAnsi="Times New Roman" w:cs="Times New Roman"/>
          <w:kern w:val="2"/>
          <w:sz w:val="24"/>
          <w:szCs w:val="24"/>
          <w:highlight w:val="none"/>
          <w:lang w:val="en-US" w:eastAsia="zh-CN" w:bidi="ar-SA"/>
        </w:rPr>
        <w:t>甲方</w:t>
      </w:r>
      <w:r>
        <w:rPr>
          <w:rFonts w:hint="eastAsia" w:ascii="仿宋_GB2312" w:hAnsi="Times New Roman" w:eastAsia="仿宋_GB2312" w:cs="Times New Roman"/>
          <w:kern w:val="2"/>
          <w:sz w:val="24"/>
          <w:szCs w:val="24"/>
          <w:highlight w:val="none"/>
          <w:lang w:val="en-US" w:eastAsia="zh-CN" w:bidi="ar-SA"/>
        </w:rPr>
        <w:t>造成直接和间接损失超过10万元的</w:t>
      </w:r>
      <w:r>
        <w:rPr>
          <w:rFonts w:hint="eastAsia" w:hAnsi="Times New Roman" w:eastAsia="仿宋_GB2312" w:cs="Times New Roman"/>
          <w:kern w:val="2"/>
          <w:sz w:val="24"/>
          <w:szCs w:val="24"/>
          <w:highlight w:val="none"/>
          <w:lang w:val="en-US" w:eastAsia="zh-CN" w:bidi="ar-SA"/>
        </w:rPr>
        <w:t>。</w:t>
      </w:r>
    </w:p>
    <w:p w14:paraId="3B8152BC">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（四）贿赂、威胁、恐吓企业相关人员的</w:t>
      </w:r>
      <w:r>
        <w:rPr>
          <w:rFonts w:hint="eastAsia" w:hAnsi="Times New Roman" w:eastAsia="仿宋_GB2312" w:cs="Times New Roman"/>
          <w:kern w:val="2"/>
          <w:sz w:val="24"/>
          <w:szCs w:val="24"/>
          <w:highlight w:val="none"/>
          <w:lang w:val="en-US" w:eastAsia="zh-CN" w:bidi="ar-SA"/>
        </w:rPr>
        <w:t>。</w:t>
      </w:r>
    </w:p>
    <w:p w14:paraId="0299D637">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（五）违反商业道德，恶意掺杂使假、以次充好的，给</w:t>
      </w:r>
      <w:r>
        <w:rPr>
          <w:rFonts w:hint="eastAsia" w:hAnsi="Times New Roman" w:cs="Times New Roman"/>
          <w:kern w:val="2"/>
          <w:sz w:val="24"/>
          <w:szCs w:val="24"/>
          <w:highlight w:val="none"/>
          <w:lang w:val="en-US" w:eastAsia="zh-CN" w:bidi="ar-SA"/>
        </w:rPr>
        <w:t>甲方</w:t>
      </w:r>
      <w:r>
        <w:rPr>
          <w:rFonts w:hint="eastAsia" w:ascii="仿宋_GB2312" w:hAnsi="Times New Roman" w:eastAsia="仿宋_GB2312" w:cs="Times New Roman"/>
          <w:kern w:val="2"/>
          <w:sz w:val="24"/>
          <w:szCs w:val="24"/>
          <w:highlight w:val="none"/>
          <w:lang w:val="en-US" w:eastAsia="zh-CN" w:bidi="ar-SA"/>
        </w:rPr>
        <w:t>造成直接和间接损失超过5万元</w:t>
      </w:r>
      <w:r>
        <w:rPr>
          <w:rFonts w:hint="eastAsia" w:hAnsi="Times New Roman" w:eastAsia="仿宋_GB2312" w:cs="Times New Roman"/>
          <w:kern w:val="2"/>
          <w:sz w:val="24"/>
          <w:szCs w:val="24"/>
          <w:highlight w:val="none"/>
          <w:lang w:val="en-US" w:eastAsia="zh-CN" w:bidi="ar-SA"/>
        </w:rPr>
        <w:t>。</w:t>
      </w:r>
    </w:p>
    <w:p w14:paraId="491F0B55">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（六）符合集团公司《合同主体信用管理办法》认定标准的</w:t>
      </w:r>
      <w:r>
        <w:rPr>
          <w:rFonts w:hint="eastAsia" w:hAnsi="Times New Roman" w:eastAsia="仿宋_GB2312" w:cs="Times New Roman"/>
          <w:kern w:val="2"/>
          <w:sz w:val="24"/>
          <w:szCs w:val="24"/>
          <w:highlight w:val="none"/>
          <w:lang w:val="en-US" w:eastAsia="zh-CN" w:bidi="ar-SA"/>
        </w:rPr>
        <w:t>。</w:t>
      </w:r>
    </w:p>
    <w:p w14:paraId="6CCFCF97">
      <w:pPr>
        <w:keepNext w:val="0"/>
        <w:keepLines w:val="0"/>
        <w:pageBreakBefore w:val="0"/>
        <w:widowControl w:val="0"/>
        <w:kinsoku/>
        <w:wordWrap/>
        <w:overflowPunct/>
        <w:topLinePunct w:val="0"/>
        <w:autoSpaceDE/>
        <w:autoSpaceDN/>
        <w:bidi w:val="0"/>
        <w:adjustRightInd/>
        <w:spacing w:line="240" w:lineRule="auto"/>
        <w:ind w:firstLine="480" w:firstLineChars="200"/>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Times New Roman" w:eastAsia="仿宋_GB2312" w:cs="Times New Roman"/>
          <w:kern w:val="2"/>
          <w:sz w:val="24"/>
          <w:szCs w:val="24"/>
          <w:highlight w:val="none"/>
          <w:lang w:val="en-US" w:eastAsia="zh-CN" w:bidi="ar-SA"/>
        </w:rPr>
        <w:t>（七）</w:t>
      </w:r>
      <w:r>
        <w:rPr>
          <w:rFonts w:hint="eastAsia" w:ascii="仿宋_GB2312" w:hAnsi="仿宋_GB2312" w:eastAsia="仿宋_GB2312" w:cs="仿宋_GB2312"/>
          <w:color w:val="auto"/>
          <w:sz w:val="24"/>
          <w:szCs w:val="24"/>
          <w:highlight w:val="none"/>
          <w:lang w:val="en-US" w:eastAsia="zh-CN"/>
        </w:rPr>
        <w:t>合同约定的其他纳入</w:t>
      </w:r>
      <w:r>
        <w:rPr>
          <w:rFonts w:hint="eastAsia" w:ascii="仿宋_GB2312" w:hAnsi="仿宋_GB2312" w:eastAsia="仿宋_GB2312" w:cs="仿宋_GB2312"/>
          <w:color w:val="auto"/>
          <w:sz w:val="24"/>
          <w:szCs w:val="24"/>
        </w:rPr>
        <w:t>大唐</w:t>
      </w:r>
      <w:r>
        <w:rPr>
          <w:rFonts w:hint="eastAsia" w:ascii="仿宋_GB2312" w:hAnsi="仿宋_GB2312" w:eastAsia="仿宋_GB2312" w:cs="仿宋_GB2312"/>
          <w:color w:val="auto"/>
          <w:sz w:val="24"/>
          <w:szCs w:val="24"/>
          <w:lang w:eastAsia="zh-CN"/>
        </w:rPr>
        <w:t>延安热电厂</w:t>
      </w:r>
      <w:r>
        <w:rPr>
          <w:rFonts w:hint="eastAsia" w:ascii="仿宋_GB2312" w:hAnsi="仿宋_GB2312" w:eastAsia="仿宋_GB2312" w:cs="仿宋_GB2312"/>
          <w:color w:val="auto"/>
          <w:sz w:val="24"/>
          <w:szCs w:val="24"/>
          <w:highlight w:val="none"/>
          <w:lang w:val="en-US" w:eastAsia="zh-CN"/>
        </w:rPr>
        <w:t>燃料供应商黑名单的情况。</w:t>
      </w:r>
    </w:p>
    <w:p w14:paraId="4283DF6C">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w:t>
      </w:r>
      <w:r>
        <w:rPr>
          <w:rFonts w:hint="eastAsia" w:ascii="黑体" w:hAnsi="黑体" w:eastAsia="黑体" w:cs="黑体"/>
          <w:kern w:val="2"/>
          <w:sz w:val="24"/>
          <w:szCs w:val="24"/>
          <w:highlight w:val="none"/>
          <w:lang w:val="en-US" w:eastAsia="zh-CN" w:bidi="ar-SA"/>
        </w:rPr>
        <w:t xml:space="preserve">四条 </w:t>
      </w:r>
      <w:r>
        <w:rPr>
          <w:rFonts w:hint="eastAsia" w:ascii="仿宋_GB2312" w:hAnsi="仿宋_GB2312" w:eastAsia="仿宋_GB2312" w:cs="仿宋_GB2312"/>
          <w:kern w:val="2"/>
          <w:sz w:val="24"/>
          <w:szCs w:val="24"/>
          <w:highlight w:val="none"/>
          <w:lang w:val="en-US" w:eastAsia="zh-CN" w:bidi="ar-SA"/>
        </w:rPr>
        <w:t>供应商的启用</w:t>
      </w:r>
    </w:p>
    <w:p w14:paraId="4027030E">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（一）冻结的供应商再次启用，须积极完成整改，并在冻结期满后由</w:t>
      </w:r>
      <w:r>
        <w:rPr>
          <w:rFonts w:hint="eastAsia" w:ascii="仿宋_GB2312" w:hAnsi="仿宋_GB2312" w:eastAsia="仿宋_GB2312" w:cs="仿宋_GB2312"/>
          <w:color w:val="auto"/>
          <w:sz w:val="24"/>
          <w:szCs w:val="24"/>
        </w:rPr>
        <w:t>大唐</w:t>
      </w:r>
      <w:r>
        <w:rPr>
          <w:rFonts w:hint="eastAsia" w:ascii="仿宋_GB2312" w:hAnsi="仿宋_GB2312" w:eastAsia="仿宋_GB2312" w:cs="仿宋_GB2312"/>
          <w:color w:val="auto"/>
          <w:sz w:val="24"/>
          <w:szCs w:val="24"/>
          <w:lang w:eastAsia="zh-CN"/>
        </w:rPr>
        <w:t>延安热电厂</w:t>
      </w:r>
      <w:r>
        <w:rPr>
          <w:rFonts w:hint="eastAsia" w:ascii="仿宋_GB2312" w:hAnsi="Times New Roman" w:eastAsia="仿宋_GB2312" w:cs="Times New Roman"/>
          <w:kern w:val="2"/>
          <w:sz w:val="24"/>
          <w:szCs w:val="24"/>
          <w:highlight w:val="none"/>
          <w:lang w:val="en-US" w:eastAsia="zh-CN" w:bidi="ar-SA"/>
        </w:rPr>
        <w:t>或被冻结供应商提出申请，按照程序重新准入。因欠缴竞价服务费冻结的供应商，服务费足额缴纳后自动启用。在冻结期限内需提前解冻的，应由</w:t>
      </w:r>
      <w:r>
        <w:rPr>
          <w:rFonts w:hint="eastAsia" w:hAnsi="Times New Roman" w:eastAsia="仿宋_GB2312" w:cs="Times New Roman"/>
          <w:kern w:val="2"/>
          <w:sz w:val="24"/>
          <w:szCs w:val="24"/>
          <w:highlight w:val="none"/>
          <w:lang w:val="en-US" w:eastAsia="zh-CN" w:bidi="ar-SA"/>
        </w:rPr>
        <w:t>陕西公司</w:t>
      </w:r>
      <w:r>
        <w:rPr>
          <w:rFonts w:hint="eastAsia" w:ascii="仿宋_GB2312" w:hAnsi="Times New Roman" w:eastAsia="仿宋_GB2312" w:cs="Times New Roman"/>
          <w:kern w:val="2"/>
          <w:sz w:val="24"/>
          <w:szCs w:val="24"/>
          <w:highlight w:val="none"/>
          <w:lang w:val="en-US" w:eastAsia="zh-CN" w:bidi="ar-SA"/>
        </w:rPr>
        <w:t>批准解冻。</w:t>
      </w:r>
    </w:p>
    <w:p w14:paraId="16C662EB">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（二）被列入“黑名单”的供应商再次启用，按照《中国大唐集团有限公司合同主体信用管理办法》相关规定执行。</w:t>
      </w:r>
    </w:p>
    <w:p w14:paraId="7841D218">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bookmarkStart w:id="62" w:name="_Hlk122439721"/>
      <w:r>
        <w:rPr>
          <w:rFonts w:hint="eastAsia" w:ascii="黑体" w:hAnsi="黑体" w:eastAsia="黑体" w:cs="Times New Roman"/>
          <w:kern w:val="2"/>
          <w:sz w:val="24"/>
          <w:szCs w:val="24"/>
          <w:highlight w:val="none"/>
          <w:lang w:val="en-US" w:eastAsia="zh-CN" w:bidi="ar-SA"/>
        </w:rPr>
        <w:t>第十五条</w:t>
      </w:r>
      <w:r>
        <w:rPr>
          <w:rFonts w:hint="eastAsia" w:ascii="仿宋_GB2312" w:hAnsi="Times New Roman" w:eastAsia="仿宋_GB2312" w:cs="Times New Roman"/>
          <w:kern w:val="2"/>
          <w:sz w:val="24"/>
          <w:szCs w:val="24"/>
          <w:highlight w:val="none"/>
          <w:lang w:val="en-US" w:eastAsia="zh-CN" w:bidi="ar-SA"/>
        </w:rPr>
        <w:t xml:space="preserve"> 对供应商的日常管理均通过统一管控平台进行，有关审批流程和材料的上报备案也通过平台完成。</w:t>
      </w:r>
    </w:p>
    <w:bookmarkEnd w:id="62"/>
    <w:p w14:paraId="17E68511">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黑体" w:hAnsi="黑体" w:eastAsia="黑体" w:cs="Times New Roman"/>
          <w:kern w:val="2"/>
          <w:sz w:val="24"/>
          <w:szCs w:val="24"/>
          <w:highlight w:val="none"/>
          <w:lang w:val="en-US" w:eastAsia="zh-CN" w:bidi="ar-SA"/>
        </w:rPr>
        <w:t>第十六条</w:t>
      </w:r>
      <w:r>
        <w:rPr>
          <w:rFonts w:hint="eastAsia" w:ascii="仿宋_GB2312" w:hAnsi="Times New Roman" w:eastAsia="仿宋_GB2312" w:cs="Times New Roman"/>
          <w:kern w:val="2"/>
          <w:sz w:val="24"/>
          <w:szCs w:val="24"/>
          <w:highlight w:val="none"/>
          <w:lang w:val="en-US" w:eastAsia="zh-CN" w:bidi="ar-SA"/>
        </w:rPr>
        <w:t xml:space="preserve"> 本办法涉及“黑名单</w:t>
      </w:r>
      <w:r>
        <w:rPr>
          <w:rFonts w:hint="eastAsia" w:hAnsi="Times New Roman" w:eastAsia="仿宋_GB2312" w:cs="Times New Roman"/>
          <w:kern w:val="2"/>
          <w:sz w:val="24"/>
          <w:szCs w:val="24"/>
          <w:highlight w:val="none"/>
          <w:lang w:val="en-US" w:eastAsia="zh-CN" w:bidi="ar-SA"/>
        </w:rPr>
        <w:t>”“</w:t>
      </w:r>
      <w:r>
        <w:rPr>
          <w:rFonts w:hint="eastAsia" w:ascii="仿宋_GB2312" w:hAnsi="Times New Roman" w:eastAsia="仿宋_GB2312" w:cs="Times New Roman"/>
          <w:kern w:val="2"/>
          <w:sz w:val="24"/>
          <w:szCs w:val="24"/>
          <w:highlight w:val="none"/>
          <w:lang w:val="en-US" w:eastAsia="zh-CN" w:bidi="ar-SA"/>
        </w:rPr>
        <w:t>灰名单”的认定标准、使用和退出等内容均按照《中国大唐集团有限公司合同主体信用管理办法》执行。</w:t>
      </w:r>
    </w:p>
    <w:p w14:paraId="1F5D38D4">
      <w:pPr>
        <w:pageBreakBefore w:val="0"/>
        <w:widowControl w:val="0"/>
        <w:kinsoku/>
        <w:wordWrap/>
        <w:overflowPunct/>
        <w:topLinePunct w:val="0"/>
        <w:autoSpaceDE/>
        <w:autoSpaceDN/>
        <w:bidi w:val="0"/>
        <w:spacing w:line="240" w:lineRule="auto"/>
        <w:rPr>
          <w:sz w:val="24"/>
          <w:szCs w:val="24"/>
        </w:rPr>
      </w:pPr>
    </w:p>
    <w:p w14:paraId="0DCD43F7">
      <w:pPr>
        <w:pStyle w:val="2"/>
        <w:pageBreakBefore w:val="0"/>
        <w:widowControl w:val="0"/>
        <w:numPr>
          <w:ilvl w:val="0"/>
          <w:numId w:val="6"/>
        </w:numPr>
        <w:kinsoku/>
        <w:wordWrap/>
        <w:overflowPunct/>
        <w:topLinePunct w:val="0"/>
        <w:autoSpaceDE/>
        <w:autoSpaceDN/>
        <w:bidi w:val="0"/>
        <w:spacing w:before="0" w:after="0" w:line="240" w:lineRule="auto"/>
        <w:ind w:left="0" w:leftChars="0" w:firstLine="0" w:firstLineChars="0"/>
        <w:rPr>
          <w:rFonts w:hint="eastAsia" w:ascii="黑体" w:hAnsi="黑体" w:eastAsia="黑体" w:cs="黑体"/>
          <w:b/>
          <w:bCs w:val="0"/>
          <w:sz w:val="24"/>
          <w:szCs w:val="24"/>
          <w:highlight w:val="none"/>
        </w:rPr>
      </w:pPr>
      <w:r>
        <w:rPr>
          <w:rFonts w:hint="eastAsia" w:ascii="黑体" w:hAnsi="黑体" w:eastAsia="黑体" w:cs="黑体"/>
          <w:b/>
          <w:bCs w:val="0"/>
          <w:sz w:val="24"/>
          <w:szCs w:val="24"/>
          <w:highlight w:val="none"/>
        </w:rPr>
        <w:t xml:space="preserve"> 监督与检查</w:t>
      </w:r>
    </w:p>
    <w:p w14:paraId="276CBB32">
      <w:pPr>
        <w:pageBreakBefore w:val="0"/>
        <w:widowControl w:val="0"/>
        <w:numPr>
          <w:ilvl w:val="0"/>
          <w:numId w:val="0"/>
        </w:numPr>
        <w:kinsoku/>
        <w:wordWrap/>
        <w:overflowPunct/>
        <w:topLinePunct w:val="0"/>
        <w:autoSpaceDE/>
        <w:autoSpaceDN/>
        <w:bidi w:val="0"/>
        <w:spacing w:line="240" w:lineRule="auto"/>
        <w:ind w:leftChars="0"/>
        <w:rPr>
          <w:sz w:val="24"/>
          <w:szCs w:val="24"/>
        </w:rPr>
      </w:pPr>
    </w:p>
    <w:p w14:paraId="0ABF69EB">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bookmarkStart w:id="63" w:name="_Ref122461103"/>
      <w:r>
        <w:rPr>
          <w:rFonts w:hint="eastAsia" w:ascii="黑体" w:hAnsi="黑体" w:eastAsia="黑体" w:cs="Times New Roman"/>
          <w:kern w:val="2"/>
          <w:sz w:val="24"/>
          <w:szCs w:val="24"/>
          <w:highlight w:val="none"/>
          <w:lang w:val="en-US" w:eastAsia="zh-CN" w:bidi="ar-SA"/>
        </w:rPr>
        <w:t>第十七条</w:t>
      </w:r>
      <w:r>
        <w:rPr>
          <w:rFonts w:hint="eastAsia" w:ascii="仿宋_GB2312" w:hAnsi="Times New Roman" w:eastAsia="仿宋_GB2312" w:cs="Times New Roman"/>
          <w:kern w:val="2"/>
          <w:sz w:val="24"/>
          <w:szCs w:val="24"/>
          <w:highlight w:val="none"/>
          <w:lang w:val="en-US" w:eastAsia="zh-CN" w:bidi="ar-SA"/>
        </w:rPr>
        <w:t xml:space="preserve"> </w:t>
      </w:r>
      <w:r>
        <w:rPr>
          <w:rFonts w:hint="eastAsia" w:ascii="仿宋_GB2312" w:hAnsi="仿宋_GB2312" w:eastAsia="仿宋_GB2312" w:cs="仿宋_GB2312"/>
          <w:kern w:val="2"/>
          <w:sz w:val="24"/>
          <w:szCs w:val="24"/>
          <w:highlight w:val="none"/>
          <w:lang w:val="en-US" w:eastAsia="zh-CN" w:bidi="ar-SA"/>
        </w:rPr>
        <w:t>在供应商管理工作中不得有以下行为：</w:t>
      </w:r>
      <w:bookmarkEnd w:id="63"/>
    </w:p>
    <w:p w14:paraId="7F6C9D5D">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（一）对供应商没有认真进行资质审查，或者未按照规定及时停用。</w:t>
      </w:r>
    </w:p>
    <w:p w14:paraId="505ED339">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（二）未按相关规定私自准入，弄虚作假抬高或降低供应商信誉等级等。</w:t>
      </w:r>
    </w:p>
    <w:p w14:paraId="1A436EDC">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（三）无故阻止供应商参与竞价，或只允许部分供应商参与竞价等人为干预竞价、限制竞争的。</w:t>
      </w:r>
    </w:p>
    <w:p w14:paraId="61CB1C3F">
      <w:pPr>
        <w:pStyle w:val="4"/>
        <w:pageBreakBefore w:val="0"/>
        <w:widowControl w:val="0"/>
        <w:numPr>
          <w:ilvl w:val="0"/>
          <w:numId w:val="0"/>
        </w:numPr>
        <w:tabs>
          <w:tab w:val="left" w:pos="0"/>
        </w:tabs>
        <w:kinsoku/>
        <w:wordWrap/>
        <w:overflowPunct/>
        <w:topLinePunct w:val="0"/>
        <w:autoSpaceDE/>
        <w:autoSpaceDN/>
        <w:bidi w:val="0"/>
        <w:spacing w:line="240" w:lineRule="auto"/>
        <w:ind w:firstLine="641"/>
        <w:rPr>
          <w:rFonts w:hint="eastAsia" w:ascii="仿宋_GB2312" w:hAnsi="Times New Roman" w:eastAsia="仿宋_GB2312" w:cs="Times New Roman"/>
          <w:kern w:val="2"/>
          <w:sz w:val="24"/>
          <w:szCs w:val="24"/>
          <w:highlight w:val="none"/>
          <w:lang w:val="en-US" w:eastAsia="zh-CN" w:bidi="ar-SA"/>
        </w:rPr>
      </w:pPr>
      <w:r>
        <w:rPr>
          <w:rFonts w:hint="eastAsia" w:ascii="仿宋_GB2312" w:hAnsi="Times New Roman" w:eastAsia="仿宋_GB2312" w:cs="Times New Roman"/>
          <w:kern w:val="2"/>
          <w:sz w:val="24"/>
          <w:szCs w:val="24"/>
          <w:highlight w:val="none"/>
          <w:lang w:val="en-US" w:eastAsia="zh-CN" w:bidi="ar-SA"/>
        </w:rPr>
        <w:t>（四）违反规定与已冻结及“黑名单”供应商签订合同，甚至造成损失的。</w:t>
      </w:r>
    </w:p>
    <w:p w14:paraId="6665215F">
      <w:pPr>
        <w:pageBreakBefore w:val="0"/>
        <w:widowControl w:val="0"/>
        <w:kinsoku/>
        <w:wordWrap/>
        <w:overflowPunct/>
        <w:topLinePunct w:val="0"/>
        <w:autoSpaceDE/>
        <w:autoSpaceDN/>
        <w:bidi w:val="0"/>
        <w:spacing w:line="240" w:lineRule="auto"/>
        <w:rPr>
          <w:rFonts w:hint="eastAsia"/>
          <w:sz w:val="24"/>
          <w:szCs w:val="24"/>
          <w:lang w:val="en-US" w:eastAsia="zh-CN"/>
        </w:rPr>
      </w:pPr>
    </w:p>
    <w:p w14:paraId="11EF9E75">
      <w:pPr>
        <w:keepNext w:val="0"/>
        <w:keepLines w:val="0"/>
        <w:pageBreakBefore w:val="0"/>
        <w:widowControl w:val="0"/>
        <w:numPr>
          <w:ilvl w:val="0"/>
          <w:numId w:val="6"/>
        </w:numPr>
        <w:kinsoku/>
        <w:wordWrap/>
        <w:overflowPunct/>
        <w:topLinePunct w:val="0"/>
        <w:autoSpaceDE/>
        <w:autoSpaceDN/>
        <w:bidi w:val="0"/>
        <w:adjustRightInd/>
        <w:spacing w:line="240" w:lineRule="auto"/>
        <w:ind w:left="0" w:leftChars="0" w:firstLine="0" w:firstLineChars="0"/>
        <w:jc w:val="center"/>
        <w:textAlignment w:val="auto"/>
        <w:outlineLvl w:val="0"/>
        <w:rPr>
          <w:rFonts w:hint="eastAsia" w:ascii="黑体" w:hAnsi="黑体" w:eastAsia="黑体" w:cs="黑体"/>
          <w:b/>
          <w:bCs/>
          <w:color w:val="auto"/>
          <w:sz w:val="24"/>
          <w:szCs w:val="24"/>
          <w:lang w:val="en-US" w:eastAsia="zh-CN"/>
        </w:rPr>
      </w:pPr>
      <w:bookmarkStart w:id="64" w:name="_Toc2111685037"/>
      <w:bookmarkStart w:id="65" w:name="_Toc421830125"/>
      <w:r>
        <w:rPr>
          <w:rFonts w:hint="eastAsia" w:ascii="黑体" w:hAnsi="黑体" w:eastAsia="黑体" w:cs="黑体"/>
          <w:b/>
          <w:bCs/>
          <w:color w:val="auto"/>
          <w:sz w:val="24"/>
          <w:szCs w:val="24"/>
          <w:lang w:val="en-US" w:eastAsia="zh-CN"/>
        </w:rPr>
        <w:t>附则</w:t>
      </w:r>
      <w:bookmarkEnd w:id="64"/>
      <w:bookmarkEnd w:id="65"/>
    </w:p>
    <w:p w14:paraId="4F35070B">
      <w:pPr>
        <w:keepNext w:val="0"/>
        <w:keepLines w:val="0"/>
        <w:pageBreakBefore w:val="0"/>
        <w:widowControl w:val="0"/>
        <w:numPr>
          <w:ilvl w:val="0"/>
          <w:numId w:val="0"/>
        </w:numPr>
        <w:kinsoku/>
        <w:wordWrap/>
        <w:overflowPunct/>
        <w:topLinePunct w:val="0"/>
        <w:autoSpaceDE/>
        <w:autoSpaceDN/>
        <w:bidi w:val="0"/>
        <w:adjustRightInd/>
        <w:spacing w:line="240" w:lineRule="auto"/>
        <w:ind w:leftChars="0"/>
        <w:jc w:val="both"/>
        <w:textAlignment w:val="auto"/>
        <w:outlineLvl w:val="0"/>
        <w:rPr>
          <w:rFonts w:hint="eastAsia" w:ascii="黑体" w:hAnsi="黑体" w:eastAsia="黑体" w:cs="黑体"/>
          <w:b w:val="0"/>
          <w:bCs w:val="0"/>
          <w:color w:val="auto"/>
          <w:sz w:val="24"/>
          <w:szCs w:val="24"/>
          <w:lang w:val="en-US" w:eastAsia="zh-CN"/>
        </w:rPr>
      </w:pPr>
    </w:p>
    <w:p w14:paraId="0D7EB92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黑体"/>
          <w:color w:val="auto"/>
          <w:kern w:val="2"/>
          <w:sz w:val="24"/>
          <w:szCs w:val="24"/>
          <w:lang w:val="en-US" w:eastAsia="zh-CN"/>
        </w:rPr>
        <w:t>第十八条</w:t>
      </w:r>
      <w:r>
        <w:rPr>
          <w:rFonts w:hint="eastAsia" w:ascii="仿宋_GB2312" w:hAnsi="Calibri" w:eastAsia="仿宋_GB2312" w:cs="Times New Roman"/>
          <w:color w:val="auto"/>
          <w:kern w:val="2"/>
          <w:sz w:val="24"/>
          <w:szCs w:val="24"/>
          <w:lang w:val="en-US" w:eastAsia="zh-CN"/>
        </w:rPr>
        <w:t xml:space="preserve"> </w:t>
      </w:r>
      <w:r>
        <w:rPr>
          <w:rFonts w:hint="eastAsia" w:ascii="仿宋_GB2312" w:hAnsi="Calibri" w:eastAsia="仿宋_GB2312" w:cs="Times New Roman"/>
          <w:color w:val="auto"/>
          <w:kern w:val="2"/>
          <w:sz w:val="24"/>
          <w:szCs w:val="24"/>
        </w:rPr>
        <w:t>本</w:t>
      </w:r>
      <w:r>
        <w:rPr>
          <w:rFonts w:hint="eastAsia" w:ascii="仿宋_GB2312" w:hAnsi="Calibri" w:eastAsia="仿宋_GB2312" w:cs="Times New Roman"/>
          <w:color w:val="auto"/>
          <w:kern w:val="2"/>
          <w:sz w:val="24"/>
          <w:szCs w:val="24"/>
          <w:lang w:val="en-US" w:eastAsia="zh-CN"/>
        </w:rPr>
        <w:t>办法</w:t>
      </w:r>
      <w:r>
        <w:rPr>
          <w:rFonts w:hint="eastAsia" w:ascii="仿宋_GB2312" w:hAnsi="Calibri" w:eastAsia="仿宋_GB2312" w:cs="Times New Roman"/>
          <w:color w:val="auto"/>
          <w:kern w:val="2"/>
          <w:sz w:val="24"/>
          <w:szCs w:val="24"/>
        </w:rPr>
        <w:t>由</w:t>
      </w:r>
      <w:r>
        <w:rPr>
          <w:rFonts w:hint="eastAsia" w:ascii="仿宋_GB2312" w:hAnsi="Calibri" w:eastAsia="仿宋_GB2312" w:cs="Times New Roman"/>
          <w:color w:val="auto"/>
          <w:kern w:val="2"/>
          <w:sz w:val="24"/>
          <w:szCs w:val="24"/>
          <w:lang w:val="en-US" w:eastAsia="zh-CN"/>
        </w:rPr>
        <w:t>大唐延安热电厂</w:t>
      </w:r>
      <w:r>
        <w:rPr>
          <w:rFonts w:hint="eastAsia" w:ascii="仿宋_GB2312" w:hAnsi="Calibri" w:eastAsia="仿宋_GB2312" w:cs="Times New Roman"/>
          <w:color w:val="auto"/>
          <w:kern w:val="2"/>
          <w:sz w:val="24"/>
          <w:szCs w:val="24"/>
        </w:rPr>
        <w:t>燃料物资部负责解释</w:t>
      </w:r>
      <w:r>
        <w:rPr>
          <w:rFonts w:hint="eastAsia" w:ascii="仿宋_GB2312" w:hAnsi="Times New Roman" w:eastAsia="仿宋_GB2312" w:cs="Times New Roman"/>
          <w:snapToGrid/>
          <w:kern w:val="2"/>
          <w:sz w:val="24"/>
          <w:szCs w:val="24"/>
          <w:lang w:val="en-US" w:eastAsia="zh-CN" w:bidi="ar-SA"/>
        </w:rPr>
        <w:t>并监督施行。</w:t>
      </w:r>
    </w:p>
    <w:p w14:paraId="128DD73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480" w:firstLineChars="200"/>
        <w:textAlignment w:val="auto"/>
        <w:rPr>
          <w:rFonts w:hint="default" w:ascii="仿宋_GB2312" w:hAnsi="Times New Roman" w:eastAsia="仿宋_GB2312" w:cs="Times New Roman"/>
          <w:snapToGrid/>
          <w:kern w:val="2"/>
          <w:sz w:val="24"/>
          <w:szCs w:val="24"/>
          <w:lang w:val="en-US" w:eastAsia="zh-CN" w:bidi="ar-SA"/>
        </w:rPr>
      </w:pPr>
      <w:r>
        <w:rPr>
          <w:rFonts w:hint="eastAsia" w:ascii="黑体" w:hAnsi="黑体" w:eastAsia="黑体" w:cs="黑体"/>
          <w:snapToGrid/>
          <w:kern w:val="2"/>
          <w:sz w:val="24"/>
          <w:szCs w:val="24"/>
          <w:lang w:val="en-US" w:eastAsia="zh-CN" w:bidi="ar-SA"/>
        </w:rPr>
        <w:t>第十九条</w:t>
      </w:r>
      <w:r>
        <w:rPr>
          <w:rFonts w:hint="eastAsia" w:ascii="仿宋_GB2312" w:hAnsi="Times New Roman" w:eastAsia="仿宋_GB2312" w:cs="Times New Roman"/>
          <w:snapToGrid/>
          <w:kern w:val="2"/>
          <w:sz w:val="24"/>
          <w:szCs w:val="24"/>
          <w:lang w:val="en-US" w:eastAsia="zh-CN" w:bidi="ar-SA"/>
        </w:rPr>
        <w:t xml:space="preserve"> </w:t>
      </w:r>
      <w:r>
        <w:rPr>
          <w:rFonts w:hint="eastAsia" w:ascii="仿宋_GB2312" w:hAnsi="Times New Roman" w:eastAsia="仿宋_GB2312" w:cs="Times New Roman"/>
          <w:sz w:val="24"/>
          <w:szCs w:val="24"/>
          <w:lang w:val="en-US" w:eastAsia="zh-CN"/>
        </w:rPr>
        <w:t>本办法自发布之日起执行。</w:t>
      </w:r>
    </w:p>
    <w:p w14:paraId="419F43E2">
      <w:pPr>
        <w:keepNext w:val="0"/>
        <w:keepLines w:val="0"/>
        <w:pageBreakBefore w:val="0"/>
        <w:widowControl w:val="0"/>
        <w:kinsoku/>
        <w:wordWrap/>
        <w:overflowPunct/>
        <w:topLinePunct w:val="0"/>
        <w:bidi w:val="0"/>
        <w:spacing w:line="560" w:lineRule="exact"/>
        <w:jc w:val="both"/>
        <w:rPr>
          <w:rFonts w:hint="eastAsia" w:ascii="宋体" w:hAnsi="宋体"/>
          <w:b/>
          <w:sz w:val="24"/>
          <w:szCs w:val="24"/>
        </w:rPr>
      </w:pPr>
    </w:p>
    <w:p w14:paraId="3977D0A7">
      <w:pPr>
        <w:keepNext w:val="0"/>
        <w:keepLines w:val="0"/>
        <w:pageBreakBefore w:val="0"/>
        <w:widowControl w:val="0"/>
        <w:kinsoku/>
        <w:wordWrap/>
        <w:overflowPunct/>
        <w:topLinePunct w:val="0"/>
        <w:bidi w:val="0"/>
        <w:spacing w:line="560" w:lineRule="exact"/>
        <w:jc w:val="both"/>
        <w:rPr>
          <w:rFonts w:hint="eastAsia" w:ascii="宋体" w:hAnsi="宋体"/>
          <w:b/>
          <w:sz w:val="24"/>
          <w:szCs w:val="24"/>
        </w:rPr>
      </w:pPr>
    </w:p>
    <w:p w14:paraId="2C829F6C">
      <w:pPr>
        <w:keepNext w:val="0"/>
        <w:keepLines w:val="0"/>
        <w:pageBreakBefore w:val="0"/>
        <w:widowControl w:val="0"/>
        <w:kinsoku/>
        <w:wordWrap/>
        <w:overflowPunct/>
        <w:topLinePunct w:val="0"/>
        <w:bidi w:val="0"/>
        <w:spacing w:line="560" w:lineRule="exact"/>
        <w:jc w:val="both"/>
        <w:rPr>
          <w:rFonts w:hint="eastAsia" w:ascii="方正小标宋简体" w:hAnsi="宋体" w:eastAsia="方正小标宋简体" w:cs="Times New Roman"/>
          <w:bCs/>
          <w:snapToGrid w:val="0"/>
          <w:kern w:val="0"/>
          <w:sz w:val="24"/>
          <w:szCs w:val="24"/>
        </w:rPr>
      </w:pPr>
      <w:r>
        <w:rPr>
          <w:rFonts w:hint="eastAsia" w:ascii="宋体" w:hAnsi="宋体"/>
          <w:b/>
          <w:sz w:val="24"/>
          <w:szCs w:val="24"/>
        </w:rPr>
        <w:t>附件</w:t>
      </w:r>
      <w:r>
        <w:rPr>
          <w:rFonts w:hint="eastAsia" w:ascii="宋体" w:hAnsi="宋体"/>
          <w:b/>
          <w:sz w:val="24"/>
          <w:szCs w:val="24"/>
          <w:lang w:val="en-US" w:eastAsia="zh-CN"/>
        </w:rPr>
        <w:t>5</w:t>
      </w:r>
      <w:r>
        <w:rPr>
          <w:rFonts w:hint="eastAsia" w:ascii="宋体" w:hAnsi="宋体"/>
          <w:b/>
          <w:sz w:val="24"/>
          <w:szCs w:val="24"/>
        </w:rPr>
        <w:t>：</w:t>
      </w:r>
      <w:r>
        <w:rPr>
          <w:rFonts w:hint="eastAsia" w:ascii="方正小标宋简体" w:hAnsi="宋体" w:eastAsia="方正小标宋简体" w:cs="Times New Roman"/>
          <w:bCs/>
          <w:snapToGrid w:val="0"/>
          <w:kern w:val="0"/>
          <w:sz w:val="24"/>
          <w:szCs w:val="24"/>
          <w:lang w:eastAsia="zh-CN"/>
        </w:rPr>
        <w:t>大唐陕西发电有限公司延安热电厂</w:t>
      </w:r>
      <w:r>
        <w:rPr>
          <w:rFonts w:hint="eastAsia" w:ascii="方正小标宋简体" w:hAnsi="宋体" w:eastAsia="方正小标宋简体" w:cs="Times New Roman"/>
          <w:bCs/>
          <w:snapToGrid w:val="0"/>
          <w:kern w:val="0"/>
          <w:sz w:val="24"/>
          <w:szCs w:val="24"/>
        </w:rPr>
        <w:t>煤炭物流运输管理实施细则</w:t>
      </w:r>
    </w:p>
    <w:p w14:paraId="5C1A3220">
      <w:pPr>
        <w:keepNext w:val="0"/>
        <w:keepLines w:val="0"/>
        <w:pageBreakBefore w:val="0"/>
        <w:widowControl w:val="0"/>
        <w:numPr>
          <w:ilvl w:val="0"/>
          <w:numId w:val="8"/>
        </w:numPr>
        <w:kinsoku/>
        <w:wordWrap/>
        <w:overflowPunct/>
        <w:topLinePunct w:val="0"/>
        <w:autoSpaceDE/>
        <w:autoSpaceDN/>
        <w:bidi w:val="0"/>
        <w:adjustRightInd/>
        <w:snapToGrid/>
        <w:spacing w:line="240" w:lineRule="auto"/>
        <w:jc w:val="center"/>
        <w:textAlignment w:val="auto"/>
        <w:outlineLvl w:val="0"/>
        <w:rPr>
          <w:rFonts w:hint="eastAsia" w:ascii="方正小标宋简体" w:hAnsi="黑体" w:eastAsia="方正小标宋简体"/>
          <w:sz w:val="24"/>
          <w:szCs w:val="24"/>
        </w:rPr>
      </w:pPr>
      <w:r>
        <w:rPr>
          <w:rFonts w:ascii="方正小标宋简体" w:hAnsi="黑体" w:eastAsia="方正小标宋简体"/>
          <w:sz w:val="24"/>
          <w:szCs w:val="24"/>
        </w:rPr>
        <w:t xml:space="preserve"> </w:t>
      </w:r>
      <w:bookmarkStart w:id="66" w:name="_Toc6240"/>
      <w:r>
        <w:rPr>
          <w:rFonts w:hint="eastAsia" w:ascii="方正小标宋简体" w:hAnsi="黑体" w:eastAsia="方正小标宋简体"/>
          <w:sz w:val="24"/>
          <w:szCs w:val="24"/>
        </w:rPr>
        <w:t>总</w:t>
      </w:r>
      <w:r>
        <w:rPr>
          <w:rFonts w:ascii="方正小标宋简体" w:hAnsi="黑体" w:eastAsia="方正小标宋简体"/>
          <w:sz w:val="24"/>
          <w:szCs w:val="24"/>
        </w:rPr>
        <w:t xml:space="preserve">  </w:t>
      </w:r>
      <w:r>
        <w:rPr>
          <w:rFonts w:hint="eastAsia" w:ascii="方正小标宋简体" w:hAnsi="黑体" w:eastAsia="方正小标宋简体"/>
          <w:sz w:val="24"/>
          <w:szCs w:val="24"/>
        </w:rPr>
        <w:t>则</w:t>
      </w:r>
      <w:bookmarkEnd w:id="66"/>
    </w:p>
    <w:p w14:paraId="270BD9D0">
      <w:pPr>
        <w:keepNext w:val="0"/>
        <w:keepLines w:val="0"/>
        <w:pageBreakBefore w:val="0"/>
        <w:kinsoku/>
        <w:wordWrap/>
        <w:overflowPunct/>
        <w:topLinePunct w:val="0"/>
        <w:autoSpaceDE/>
        <w:autoSpaceDN/>
        <w:bidi w:val="0"/>
        <w:adjustRightInd/>
        <w:spacing w:line="240" w:lineRule="auto"/>
        <w:ind w:firstLine="480" w:firstLineChars="200"/>
        <w:textAlignment w:val="auto"/>
        <w:rPr>
          <w:rFonts w:hint="default" w:ascii="仿宋_GB2312" w:eastAsia="仿宋_GB2312"/>
          <w:sz w:val="24"/>
          <w:szCs w:val="24"/>
          <w:lang w:val="en-US" w:eastAsia="zh-CN"/>
        </w:rPr>
      </w:pPr>
      <w:r>
        <w:rPr>
          <w:rFonts w:hint="eastAsia" w:ascii="黑体" w:hAnsi="黑体" w:eastAsia="黑体"/>
          <w:sz w:val="24"/>
          <w:szCs w:val="24"/>
        </w:rPr>
        <w:t xml:space="preserve">第一条 </w:t>
      </w:r>
      <w:r>
        <w:rPr>
          <w:rFonts w:hint="eastAsia" w:ascii="仿宋_GB2312" w:eastAsia="仿宋_GB2312"/>
          <w:b/>
          <w:sz w:val="24"/>
          <w:szCs w:val="24"/>
        </w:rPr>
        <w:t xml:space="preserve"> </w:t>
      </w:r>
      <w:r>
        <w:rPr>
          <w:rFonts w:hint="eastAsia" w:ascii="仿宋_GB2312" w:eastAsia="仿宋_GB2312"/>
          <w:sz w:val="24"/>
          <w:szCs w:val="24"/>
        </w:rPr>
        <w:t>为</w:t>
      </w:r>
      <w:r>
        <w:rPr>
          <w:rFonts w:hint="eastAsia" w:ascii="仿宋_GB2312" w:eastAsia="仿宋_GB2312"/>
          <w:sz w:val="24"/>
          <w:szCs w:val="24"/>
          <w:lang w:val="en-US" w:eastAsia="zh-CN"/>
        </w:rPr>
        <w:t>加强大唐陕西发电部有限公司延安热电厂（以下简称大唐延安热电厂）煤炭物流运输管理，规范承运服务采购行</w:t>
      </w:r>
      <w:r>
        <w:rPr>
          <w:rFonts w:hint="eastAsia" w:ascii="仿宋_GB2312" w:eastAsia="仿宋_GB2312"/>
          <w:sz w:val="24"/>
          <w:szCs w:val="24"/>
          <w:highlight w:val="none"/>
          <w:lang w:val="en-US" w:eastAsia="zh-CN"/>
        </w:rPr>
        <w:t>为，强化</w:t>
      </w:r>
      <w:r>
        <w:rPr>
          <w:rFonts w:hint="eastAsia" w:ascii="仿宋_GB2312" w:eastAsia="仿宋_GB2312"/>
          <w:sz w:val="24"/>
          <w:szCs w:val="24"/>
          <w:lang w:val="en-US" w:eastAsia="zh-CN"/>
        </w:rPr>
        <w:t>站台、堆场业务操作，</w:t>
      </w:r>
      <w:r>
        <w:rPr>
          <w:rFonts w:hint="eastAsia" w:ascii="仿宋_GB2312" w:hAnsi="Times New Roman" w:eastAsia="仿宋_GB2312" w:cs="Times New Roman"/>
          <w:sz w:val="24"/>
          <w:szCs w:val="24"/>
          <w:lang w:val="en-US" w:eastAsia="zh-CN"/>
        </w:rPr>
        <w:t>根据《大唐陕西发电有限公司煤炭物流运输管理办法》《</w:t>
      </w:r>
      <w:r>
        <w:rPr>
          <w:rFonts w:hint="eastAsia" w:ascii="仿宋_GB2312" w:hAnsi="Times New Roman" w:eastAsia="仿宋_GB2312" w:cs="Times New Roman"/>
          <w:b w:val="0"/>
          <w:sz w:val="24"/>
          <w:szCs w:val="24"/>
        </w:rPr>
        <w:t>中国大唐集团有限公司煤炭</w:t>
      </w:r>
      <w:r>
        <w:rPr>
          <w:rFonts w:hint="eastAsia" w:ascii="仿宋_GB2312" w:hAnsi="Times New Roman" w:eastAsia="仿宋_GB2312" w:cs="Times New Roman"/>
          <w:b w:val="0"/>
          <w:sz w:val="24"/>
          <w:szCs w:val="24"/>
          <w:lang w:val="en-US" w:eastAsia="zh-CN"/>
        </w:rPr>
        <w:t>物流运输</w:t>
      </w:r>
      <w:r>
        <w:rPr>
          <w:rFonts w:hint="eastAsia" w:ascii="仿宋_GB2312" w:hAnsi="Times New Roman" w:eastAsia="仿宋_GB2312" w:cs="Times New Roman"/>
          <w:b w:val="0"/>
          <w:sz w:val="24"/>
          <w:szCs w:val="24"/>
        </w:rPr>
        <w:t>管理办法</w:t>
      </w:r>
      <w:r>
        <w:rPr>
          <w:rFonts w:hint="eastAsia" w:ascii="仿宋_GB2312" w:hAnsi="Times New Roman" w:eastAsia="仿宋_GB2312" w:cs="Times New Roman"/>
          <w:sz w:val="24"/>
          <w:szCs w:val="24"/>
          <w:lang w:val="en-US" w:eastAsia="zh-CN"/>
        </w:rPr>
        <w:t>》并</w:t>
      </w:r>
      <w:r>
        <w:rPr>
          <w:rFonts w:hint="eastAsia" w:ascii="仿宋_GB2312" w:eastAsia="仿宋_GB2312"/>
          <w:sz w:val="24"/>
          <w:szCs w:val="24"/>
        </w:rPr>
        <w:t>结合</w:t>
      </w:r>
      <w:r>
        <w:rPr>
          <w:rFonts w:hint="eastAsia" w:ascii="仿宋_GB2312" w:eastAsia="仿宋_GB2312"/>
          <w:sz w:val="24"/>
          <w:szCs w:val="24"/>
          <w:lang w:val="en-US" w:eastAsia="zh-CN"/>
        </w:rPr>
        <w:t>大唐延安热电厂实际，特制定本细则。</w:t>
      </w:r>
    </w:p>
    <w:p w14:paraId="528F61F8">
      <w:pPr>
        <w:keepNext w:val="0"/>
        <w:keepLines w:val="0"/>
        <w:pageBreakBefore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z w:val="24"/>
          <w:szCs w:val="24"/>
          <w:lang w:val="en-US" w:eastAsia="zh-CN"/>
        </w:rPr>
      </w:pPr>
      <w:r>
        <w:rPr>
          <w:rFonts w:hint="eastAsia" w:ascii="黑体" w:hAnsi="黑体" w:eastAsia="黑体"/>
          <w:sz w:val="24"/>
          <w:szCs w:val="24"/>
        </w:rPr>
        <w:t>第二条</w:t>
      </w:r>
      <w:r>
        <w:rPr>
          <w:rFonts w:hint="eastAsia" w:ascii="方正小标宋简体" w:eastAsia="方正小标宋简体"/>
          <w:b/>
          <w:sz w:val="24"/>
          <w:szCs w:val="24"/>
        </w:rPr>
        <w:t xml:space="preserve"> </w:t>
      </w:r>
      <w:r>
        <w:rPr>
          <w:rFonts w:hint="eastAsia" w:ascii="仿宋_GB2312" w:eastAsia="仿宋_GB2312"/>
          <w:b/>
          <w:sz w:val="24"/>
          <w:szCs w:val="24"/>
        </w:rPr>
        <w:t xml:space="preserve"> </w:t>
      </w:r>
      <w:r>
        <w:rPr>
          <w:rFonts w:hint="eastAsia" w:ascii="仿宋_GB2312" w:hAnsi="Times New Roman" w:eastAsia="仿宋_GB2312" w:cs="Times New Roman"/>
          <w:sz w:val="24"/>
          <w:szCs w:val="24"/>
          <w:lang w:val="en-US" w:eastAsia="zh-CN"/>
        </w:rPr>
        <w:t>本办法所称煤炭物流运输管理是指煤炭运输链条中</w:t>
      </w:r>
      <w:bookmarkStart w:id="67" w:name="_Hlk49085292"/>
      <w:r>
        <w:rPr>
          <w:rFonts w:hint="eastAsia" w:ascii="仿宋_GB2312" w:hAnsi="Times New Roman" w:eastAsia="仿宋_GB2312" w:cs="Times New Roman"/>
          <w:sz w:val="24"/>
          <w:szCs w:val="24"/>
          <w:lang w:val="en-US" w:eastAsia="zh-CN"/>
        </w:rPr>
        <w:t>运力采购、装车、运输、站台及堆场出入库</w:t>
      </w:r>
      <w:bookmarkEnd w:id="67"/>
      <w:r>
        <w:rPr>
          <w:rFonts w:hint="eastAsia" w:ascii="仿宋_GB2312" w:hAnsi="Times New Roman" w:eastAsia="仿宋_GB2312" w:cs="Times New Roman"/>
          <w:sz w:val="24"/>
          <w:szCs w:val="24"/>
          <w:lang w:val="en-US" w:eastAsia="zh-CN"/>
        </w:rPr>
        <w:t>等业务中所涉及的管理活动。</w:t>
      </w:r>
    </w:p>
    <w:p w14:paraId="7EFB95DB">
      <w:pPr>
        <w:keepNext w:val="0"/>
        <w:keepLines w:val="0"/>
        <w:pageBreakBefore w:val="0"/>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color w:val="auto"/>
          <w:sz w:val="24"/>
          <w:szCs w:val="24"/>
          <w:lang w:val="en-US" w:eastAsia="zh-CN"/>
        </w:rPr>
      </w:pPr>
      <w:r>
        <w:rPr>
          <w:rFonts w:hint="eastAsia" w:ascii="黑体" w:hAnsi="黑体" w:eastAsia="黑体"/>
          <w:sz w:val="24"/>
          <w:szCs w:val="24"/>
        </w:rPr>
        <w:t xml:space="preserve">第三条 </w:t>
      </w:r>
      <w:r>
        <w:rPr>
          <w:rFonts w:hint="eastAsia" w:ascii="仿宋_GB2312" w:eastAsia="仿宋_GB2312"/>
          <w:b/>
          <w:sz w:val="24"/>
          <w:szCs w:val="24"/>
        </w:rPr>
        <w:t xml:space="preserve"> </w:t>
      </w:r>
      <w:r>
        <w:rPr>
          <w:rFonts w:hint="eastAsia" w:ascii="仿宋_GB2312" w:hAnsi="Times New Roman" w:eastAsia="仿宋_GB2312" w:cs="Times New Roman"/>
          <w:sz w:val="24"/>
          <w:szCs w:val="24"/>
          <w:lang w:val="en-US" w:eastAsia="zh-CN"/>
        </w:rPr>
        <w:t>本细则所称煤炭物流运输供应商（以下简称承运商）仅指通过运输工具向</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z w:val="24"/>
          <w:szCs w:val="24"/>
          <w:lang w:val="en-US" w:eastAsia="zh-CN"/>
        </w:rPr>
        <w:t>提供煤炭物流运输服务的企业（不含集运站、堆场、洗煤厂等发运、储存、加工服务企业）。承运商的分类、准入、评价、使用和退出等应遵守《</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z w:val="24"/>
          <w:szCs w:val="24"/>
          <w:lang w:val="en-US" w:eastAsia="zh-CN"/>
        </w:rPr>
        <w:t>煤炭供应商管理办法》有关规定。</w:t>
      </w:r>
      <w:r>
        <w:rPr>
          <w:rFonts w:hint="eastAsia" w:ascii="仿宋_GB2312" w:hAnsi="Times New Roman" w:eastAsia="仿宋_GB2312" w:cs="Times New Roman"/>
          <w:color w:val="auto"/>
          <w:sz w:val="24"/>
          <w:szCs w:val="24"/>
          <w:lang w:val="en-US" w:eastAsia="zh-CN"/>
        </w:rPr>
        <w:t>发运、储存、加工等服务企业的选取按照《大唐陕西发电有限公司采购管理规定》等制度执行。</w:t>
      </w:r>
    </w:p>
    <w:p w14:paraId="2B4DB14A">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641"/>
        <w:textAlignment w:val="auto"/>
        <w:rPr>
          <w:rFonts w:hint="eastAsia" w:ascii="仿宋_GB2312" w:hAnsi="Times New Roman" w:eastAsia="仿宋_GB2312" w:cs="Times New Roman"/>
          <w:kern w:val="2"/>
          <w:sz w:val="24"/>
          <w:szCs w:val="24"/>
          <w:lang w:val="en-US" w:eastAsia="zh-CN" w:bidi="ar-SA"/>
        </w:rPr>
      </w:pPr>
      <w:r>
        <w:rPr>
          <w:rFonts w:hint="eastAsia" w:ascii="黑体" w:hAnsi="黑体" w:eastAsia="黑体" w:cs="Times New Roman"/>
          <w:sz w:val="24"/>
          <w:szCs w:val="24"/>
          <w:lang w:val="en-US" w:eastAsia="zh-CN"/>
        </w:rPr>
        <w:t>第四条</w:t>
      </w:r>
      <w:r>
        <w:rPr>
          <w:rFonts w:hint="eastAsia" w:ascii="仿宋_GB2312" w:hAnsi="Times New Roman" w:eastAsia="仿宋_GB2312" w:cs="Times New Roman"/>
          <w:kern w:val="2"/>
          <w:sz w:val="24"/>
          <w:szCs w:val="24"/>
          <w:lang w:val="en-US" w:eastAsia="zh-CN" w:bidi="ar-SA"/>
        </w:rPr>
        <w:t xml:space="preserve"> 物流运输管理原则：</w:t>
      </w:r>
    </w:p>
    <w:p w14:paraId="49BD1DA9">
      <w:pPr>
        <w:pStyle w:val="5"/>
        <w:keepNext w:val="0"/>
        <w:keepLines w:val="0"/>
        <w:pageBreakBefore w:val="0"/>
        <w:numPr>
          <w:ilvl w:val="0"/>
          <w:numId w:val="0"/>
        </w:numPr>
        <w:kinsoku/>
        <w:wordWrap/>
        <w:overflowPunct/>
        <w:topLinePunct w:val="0"/>
        <w:autoSpaceDE/>
        <w:autoSpaceDN/>
        <w:bidi w:val="0"/>
        <w:adjustRightInd/>
        <w:spacing w:line="240" w:lineRule="auto"/>
        <w:ind w:firstLine="640"/>
        <w:textAlignment w:val="auto"/>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（一）</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kern w:val="2"/>
          <w:sz w:val="24"/>
          <w:szCs w:val="24"/>
          <w:lang w:val="en-US" w:eastAsia="zh-CN" w:bidi="ar-SA"/>
        </w:rPr>
        <w:t>主导、上级统筹。考虑煤炭物流运输市场化程度高、区域性特征明显，煤炭物流运输管理由</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kern w:val="2"/>
          <w:sz w:val="24"/>
          <w:szCs w:val="24"/>
          <w:lang w:val="en-US" w:eastAsia="zh-CN" w:bidi="ar-SA"/>
        </w:rPr>
        <w:t>主导，陕西公司进行统筹管理。</w:t>
      </w:r>
    </w:p>
    <w:p w14:paraId="336D4B96">
      <w:pPr>
        <w:pStyle w:val="5"/>
        <w:keepNext w:val="0"/>
        <w:keepLines w:val="0"/>
        <w:pageBreakBefore w:val="0"/>
        <w:numPr>
          <w:ilvl w:val="0"/>
          <w:numId w:val="0"/>
        </w:numPr>
        <w:kinsoku/>
        <w:wordWrap/>
        <w:overflowPunct/>
        <w:topLinePunct w:val="0"/>
        <w:autoSpaceDE/>
        <w:autoSpaceDN/>
        <w:bidi w:val="0"/>
        <w:adjustRightInd/>
        <w:spacing w:line="240" w:lineRule="auto"/>
        <w:ind w:firstLine="640"/>
        <w:textAlignment w:val="auto"/>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二）优化结构、效益优先。不断优化煤炭物流运输通道，提高运输效率，增强运输保障能力；不断加强物流运输过程管控，减少各环节运营成本和不合理损耗，节约综合运输成本；不断规范运力采购行为，防范采购风险和廉洁风险。</w:t>
      </w:r>
    </w:p>
    <w:p w14:paraId="702CEB74">
      <w:pPr>
        <w:pStyle w:val="5"/>
        <w:keepNext w:val="0"/>
        <w:keepLines w:val="0"/>
        <w:pageBreakBefore w:val="0"/>
        <w:numPr>
          <w:ilvl w:val="0"/>
          <w:numId w:val="0"/>
        </w:numPr>
        <w:kinsoku/>
        <w:wordWrap/>
        <w:overflowPunct/>
        <w:topLinePunct w:val="0"/>
        <w:autoSpaceDE/>
        <w:autoSpaceDN/>
        <w:bidi w:val="0"/>
        <w:adjustRightInd/>
        <w:spacing w:line="240" w:lineRule="auto"/>
        <w:ind w:firstLine="640"/>
        <w:textAlignment w:val="auto"/>
        <w:rPr>
          <w:rFonts w:hint="eastAsia" w:ascii="仿宋_GB2312" w:hAnsi="Times New Roman" w:eastAsia="仿宋_GB2312" w:cs="Times New Roman"/>
          <w:kern w:val="2"/>
          <w:sz w:val="24"/>
          <w:szCs w:val="24"/>
          <w:lang w:val="en-US" w:eastAsia="zh-CN" w:bidi="ar-SA"/>
        </w:rPr>
      </w:pPr>
      <w:r>
        <w:rPr>
          <w:rFonts w:hint="eastAsia" w:ascii="仿宋_GB2312" w:hAnsi="Times New Roman" w:eastAsia="仿宋_GB2312" w:cs="Times New Roman"/>
          <w:kern w:val="2"/>
          <w:sz w:val="24"/>
          <w:szCs w:val="24"/>
          <w:lang w:val="en-US" w:eastAsia="zh-CN" w:bidi="ar-SA"/>
        </w:rPr>
        <w:t>（三）谁合作、谁管理。燃料物资部负责承运商准入、资质审核、信息维护，并定期对承运商进行评价。承运商的决策过程要公开、透明，所有运输合同必须在集团燃料业务统一管控平台上进行备案。其中市场运输需求原则上必须在集团煤炭电子交易平台（以下简称交易平台）上公开竞价。</w:t>
      </w:r>
    </w:p>
    <w:p w14:paraId="261FEF83">
      <w:pPr>
        <w:keepNext w:val="0"/>
        <w:keepLines w:val="0"/>
        <w:pageBreakBefore w:val="0"/>
        <w:kinsoku/>
        <w:wordWrap/>
        <w:overflowPunct/>
        <w:topLinePunct w:val="0"/>
        <w:autoSpaceDE/>
        <w:autoSpaceDN/>
        <w:bidi w:val="0"/>
        <w:adjustRightInd/>
        <w:spacing w:line="240" w:lineRule="auto"/>
        <w:textAlignment w:val="auto"/>
        <w:rPr>
          <w:rFonts w:hint="eastAsia"/>
          <w:sz w:val="24"/>
          <w:szCs w:val="24"/>
          <w:lang w:val="en-US" w:eastAsia="zh-CN"/>
        </w:rPr>
      </w:pPr>
    </w:p>
    <w:p w14:paraId="60BE778A">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r>
        <w:rPr>
          <w:rFonts w:hint="eastAsia" w:ascii="方正小标宋简体" w:hAnsi="黑体" w:eastAsia="方正小标宋简体" w:cs="Times New Roman"/>
          <w:sz w:val="24"/>
          <w:szCs w:val="24"/>
          <w:lang w:val="en-US" w:eastAsia="zh-CN"/>
        </w:rPr>
        <w:t xml:space="preserve"> </w:t>
      </w:r>
      <w:bookmarkStart w:id="68" w:name="_Toc5967"/>
      <w:r>
        <w:rPr>
          <w:rFonts w:hint="eastAsia" w:ascii="方正小标宋简体" w:hAnsi="黑体" w:eastAsia="方正小标宋简体" w:cs="Times New Roman"/>
          <w:sz w:val="24"/>
          <w:szCs w:val="24"/>
          <w:lang w:val="en-US" w:eastAsia="zh-CN"/>
        </w:rPr>
        <w:t>组织与职责</w:t>
      </w:r>
      <w:bookmarkEnd w:id="68"/>
    </w:p>
    <w:p w14:paraId="775A1B48">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第五条</w:t>
      </w:r>
      <w:r>
        <w:rPr>
          <w:rFonts w:hint="eastAsia" w:ascii="仿宋_GB2312" w:hAnsi="Times New Roman" w:eastAsia="仿宋_GB2312" w:cs="Times New Roman"/>
          <w:snapToGrid/>
          <w:kern w:val="2"/>
          <w:sz w:val="24"/>
          <w:szCs w:val="24"/>
          <w:lang w:val="en-US" w:eastAsia="zh-CN" w:bidi="ar-SA"/>
        </w:rPr>
        <w:t xml:space="preserve">  燃料物资部职责</w:t>
      </w:r>
    </w:p>
    <w:p w14:paraId="37F287A0">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bookmarkStart w:id="69" w:name="_Hlk49254234"/>
      <w:r>
        <w:rPr>
          <w:rFonts w:hint="eastAsia" w:ascii="仿宋_GB2312" w:hAnsi="Times New Roman" w:eastAsia="仿宋_GB2312" w:cs="Times New Roman"/>
          <w:snapToGrid/>
          <w:kern w:val="2"/>
          <w:sz w:val="24"/>
          <w:szCs w:val="24"/>
          <w:lang w:val="en-US" w:eastAsia="zh-CN" w:bidi="ar-SA"/>
        </w:rPr>
        <w:t>（一）联系当地政府有关部门，协调铁路局和运输单位等，争取有利的外部环境和运力、资源支持。</w:t>
      </w:r>
    </w:p>
    <w:p w14:paraId="5F56EB50">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（二）定期组织市场形势分析和运力情况调查，不断拓展优质供应渠道。</w:t>
      </w:r>
    </w:p>
    <w:p w14:paraId="64EEE30E">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（三）根据</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napToGrid/>
          <w:kern w:val="2"/>
          <w:sz w:val="24"/>
          <w:szCs w:val="24"/>
          <w:lang w:val="en-US" w:eastAsia="zh-CN" w:bidi="ar-SA"/>
        </w:rPr>
        <w:t>燃料采购领导小组制定本单位煤炭运输物流采购策略，依据上级单位管控要求，开展需求、采购及调运计划的填报、上报工作。</w:t>
      </w:r>
    </w:p>
    <w:p w14:paraId="23D93F58">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（四）根据陕西公司统一安排开展各类运输方式的长协采购，提出市场承运议价采购申请，编制市场承运竞价采购公告。</w:t>
      </w:r>
    </w:p>
    <w:p w14:paraId="3EBE5008">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（五）执行陕西公司审定的煤炭物流运输调度指令等，组织实施调运工作，确保资源可调能调。</w:t>
      </w:r>
      <w:bookmarkEnd w:id="69"/>
    </w:p>
    <w:p w14:paraId="6E121C1A">
      <w:pPr>
        <w:keepNext w:val="0"/>
        <w:keepLines w:val="0"/>
        <w:pageBreakBefore w:val="0"/>
        <w:kinsoku/>
        <w:wordWrap/>
        <w:overflowPunct/>
        <w:topLinePunct w:val="0"/>
        <w:autoSpaceDE/>
        <w:autoSpaceDN/>
        <w:bidi w:val="0"/>
        <w:adjustRightInd/>
        <w:spacing w:line="240" w:lineRule="auto"/>
        <w:textAlignment w:val="auto"/>
        <w:rPr>
          <w:rFonts w:hint="default"/>
          <w:sz w:val="24"/>
          <w:szCs w:val="24"/>
          <w:lang w:val="en-US" w:eastAsia="zh-CN"/>
        </w:rPr>
      </w:pPr>
    </w:p>
    <w:p w14:paraId="07EF6417">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r>
        <w:rPr>
          <w:rFonts w:hint="eastAsia" w:ascii="方正小标宋简体" w:hAnsi="黑体" w:eastAsia="方正小标宋简体" w:cs="Times New Roman"/>
          <w:sz w:val="24"/>
          <w:szCs w:val="24"/>
          <w:lang w:val="en-US" w:eastAsia="zh-CN"/>
        </w:rPr>
        <w:t xml:space="preserve"> </w:t>
      </w:r>
      <w:bookmarkStart w:id="70" w:name="_Toc26514"/>
      <w:r>
        <w:rPr>
          <w:rFonts w:hint="eastAsia" w:ascii="方正小标宋简体" w:hAnsi="黑体" w:eastAsia="方正小标宋简体" w:cs="Times New Roman"/>
          <w:sz w:val="24"/>
          <w:szCs w:val="24"/>
          <w:lang w:val="en-US" w:eastAsia="zh-CN"/>
        </w:rPr>
        <w:t>运力采购管理</w:t>
      </w:r>
      <w:bookmarkEnd w:id="70"/>
    </w:p>
    <w:p w14:paraId="0D9C17D2">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第六条</w:t>
      </w:r>
      <w:r>
        <w:rPr>
          <w:rFonts w:hint="eastAsia" w:ascii="仿宋_GB2312" w:hAnsi="Times New Roman" w:eastAsia="仿宋_GB2312" w:cs="Times New Roman"/>
          <w:snapToGrid/>
          <w:kern w:val="2"/>
          <w:sz w:val="24"/>
          <w:szCs w:val="24"/>
          <w:lang w:val="en-US" w:eastAsia="zh-CN" w:bidi="ar-SA"/>
        </w:rPr>
        <w:t xml:space="preserve"> 应按照《大唐延安发电有限公司煤炭供应商管理办法》对承运商开展分类、准入、评价、使用和退出管理，确保承运商类别、资质、等级等与拟开展的中长期或市场运力采购需求相匹配。</w:t>
      </w:r>
    </w:p>
    <w:p w14:paraId="54BD9C65">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第七条</w:t>
      </w:r>
      <w:r>
        <w:rPr>
          <w:rFonts w:hint="eastAsia" w:ascii="仿宋_GB2312" w:hAnsi="Times New Roman" w:eastAsia="仿宋_GB2312" w:cs="Times New Roman"/>
          <w:snapToGrid/>
          <w:kern w:val="2"/>
          <w:sz w:val="24"/>
          <w:szCs w:val="24"/>
          <w:lang w:val="en-US" w:eastAsia="zh-CN" w:bidi="ar-SA"/>
        </w:rPr>
        <w:t xml:space="preserve"> 加强运力布局和运输通道优化研究，结合电煤采购策略，同时策划运力配置方案。运力配置的原则：</w:t>
      </w:r>
    </w:p>
    <w:p w14:paraId="35B575E2">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（一）成本优先。优先选择运输成本最低的运输方式，优先选择倒运次数少的直达运输方式，减少损耗。</w:t>
      </w:r>
    </w:p>
    <w:p w14:paraId="3018A6B4">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（二）重点运力优先。争取实现铁路运输中长期运力全覆盖，积极争取经铁运输合同符合条件的全部配置重点铁路运力。</w:t>
      </w:r>
    </w:p>
    <w:p w14:paraId="170826CA">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（三）自有运力优先。在同等条件下，应优先采用集团公司内部物流运输企业。</w:t>
      </w:r>
    </w:p>
    <w:p w14:paraId="01C0082A">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第八条</w:t>
      </w:r>
      <w:r>
        <w:rPr>
          <w:rFonts w:hint="eastAsia" w:ascii="仿宋_GB2312" w:hAnsi="Times New Roman" w:eastAsia="仿宋_GB2312" w:cs="Times New Roman"/>
          <w:snapToGrid/>
          <w:kern w:val="2"/>
          <w:sz w:val="24"/>
          <w:szCs w:val="24"/>
          <w:lang w:val="en-US" w:eastAsia="zh-CN" w:bidi="ar-SA"/>
        </w:rPr>
        <w:t xml:space="preserve"> 运力采购决策程序</w:t>
      </w:r>
    </w:p>
    <w:p w14:paraId="6AF40C58">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一）中长期运力采购：中长期运力合同要有明确价格或者价格形成机制，合同期限在一年及以上。由燃料物资部提出长协运力采购申请，经燃料采购领导小组决策后，报陕西公司燃料领导小组进行决策。中长期承运商应该是具备自有运力的一类、二类承运商或者集团公司内部的五类供应商。</w:t>
      </w:r>
    </w:p>
    <w:p w14:paraId="125E1253">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highlight w:val="none"/>
          <w:lang w:val="en-US" w:eastAsia="zh-CN" w:bidi="ar-SA"/>
        </w:rPr>
      </w:pPr>
      <w:r>
        <w:rPr>
          <w:rFonts w:hint="eastAsia" w:ascii="仿宋_GB2312" w:hAnsi="Times New Roman" w:eastAsia="仿宋_GB2312" w:cs="Times New Roman"/>
          <w:snapToGrid/>
          <w:kern w:val="2"/>
          <w:sz w:val="24"/>
          <w:szCs w:val="24"/>
          <w:highlight w:val="none"/>
          <w:lang w:val="en-US" w:eastAsia="zh-CN" w:bidi="ar-SA"/>
        </w:rPr>
        <w:t>（二）市场运力采购。市场运力合同要有明确价格，合同期限在一年以内。有关</w:t>
      </w:r>
      <w:r>
        <w:rPr>
          <w:rFonts w:hint="eastAsia" w:hAnsi="Times New Roman" w:cs="Times New Roman"/>
          <w:snapToGrid/>
          <w:kern w:val="2"/>
          <w:sz w:val="24"/>
          <w:szCs w:val="24"/>
          <w:highlight w:val="none"/>
          <w:lang w:val="en-US" w:eastAsia="zh-CN" w:bidi="ar-SA"/>
        </w:rPr>
        <w:t>甲方</w:t>
      </w:r>
      <w:r>
        <w:rPr>
          <w:rFonts w:hint="eastAsia" w:ascii="仿宋_GB2312" w:hAnsi="Times New Roman" w:eastAsia="仿宋_GB2312" w:cs="Times New Roman"/>
          <w:snapToGrid/>
          <w:kern w:val="2"/>
          <w:sz w:val="24"/>
          <w:szCs w:val="24"/>
          <w:highlight w:val="none"/>
          <w:lang w:val="en-US" w:eastAsia="zh-CN" w:bidi="ar-SA"/>
        </w:rPr>
        <w:t>必须严格审核市场承运商的运输保障能力。</w:t>
      </w:r>
    </w:p>
    <w:p w14:paraId="36E6428A">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1.通过竞价方式采购的，由燃料物资部在大唐煤炭电子购销平台上公开发布市场运力采购公告（内容包括但不限于运输方式、起运地点、目的地、收货人、运量、运价、结算方式、结算及付款期限、争议解决方式等），根据承运商报价，由系统根据承运商报价进行排序，由低到高确定合作承运商，竞价限价由陕西公司燃料管理部核定。除报价最低的承运商主动申请放弃外，</w:t>
      </w:r>
      <w:r>
        <w:rPr>
          <w:rFonts w:hint="eastAsia" w:hAnsi="Times New Roman" w:cs="Times New Roman"/>
          <w:snapToGrid/>
          <w:kern w:val="2"/>
          <w:sz w:val="24"/>
          <w:szCs w:val="24"/>
          <w:lang w:val="en-US" w:eastAsia="zh-CN" w:bidi="ar-SA"/>
        </w:rPr>
        <w:t>甲方</w:t>
      </w:r>
      <w:r>
        <w:rPr>
          <w:rFonts w:hint="eastAsia" w:ascii="仿宋_GB2312" w:hAnsi="Times New Roman" w:eastAsia="仿宋_GB2312" w:cs="Times New Roman"/>
          <w:snapToGrid/>
          <w:kern w:val="2"/>
          <w:sz w:val="24"/>
          <w:szCs w:val="24"/>
          <w:lang w:val="en-US" w:eastAsia="zh-CN" w:bidi="ar-SA"/>
        </w:rPr>
        <w:t>应按照报价排序结果与承运商进行对接洽谈并设定成交结果，交易平台根据成交结果向承运商发送竞价成交通知书。</w:t>
      </w:r>
    </w:p>
    <w:p w14:paraId="239CEC50">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2.通过竞拍方式采购的，由燃料物资部在大唐煤炭电子购销平台上公开发布市场运力采购公告，承运商通过多轮竞买报价，根据最后一轮最低报价确定合作承运商，并通过平台公布竞价结果。</w:t>
      </w:r>
    </w:p>
    <w:p w14:paraId="254640E3">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3.原则上市场运力都应该通过竞价方式采购。当竞价、竞拍采购确实无法满足实际需求或不利于控制成本的，可以实施议价采购。由燃料物资部根据市场调研结果选择一家或多家运力、物流服务承运商，通过直接谈判或报价的方式确定最终合作承运商，经燃料采购领导小组决策通过后，报陕西公司燃料领导小组进行决策。</w:t>
      </w:r>
    </w:p>
    <w:p w14:paraId="6D7D0FAD">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highlight w:val="none"/>
          <w:lang w:val="en-US" w:eastAsia="zh-CN" w:bidi="ar-SA"/>
        </w:rPr>
      </w:pPr>
      <w:r>
        <w:rPr>
          <w:rFonts w:hint="eastAsia" w:ascii="仿宋_GB2312" w:hAnsi="Times New Roman" w:eastAsia="仿宋_GB2312" w:cs="Times New Roman"/>
          <w:snapToGrid/>
          <w:kern w:val="2"/>
          <w:sz w:val="24"/>
          <w:szCs w:val="24"/>
          <w:highlight w:val="none"/>
          <w:lang w:val="en-US" w:eastAsia="zh-CN" w:bidi="ar-SA"/>
        </w:rPr>
        <w:t>4.采用综合评分方法选定承运商的，</w:t>
      </w:r>
      <w:r>
        <w:rPr>
          <w:rFonts w:hint="eastAsia" w:ascii="仿宋_GB2312" w:hAnsi="Times New Roman" w:eastAsia="仿宋_GB2312" w:cs="Times New Roman"/>
          <w:snapToGrid/>
          <w:kern w:val="2"/>
          <w:sz w:val="24"/>
          <w:szCs w:val="24"/>
          <w:lang w:val="en-US" w:eastAsia="zh-CN" w:bidi="ar-SA"/>
        </w:rPr>
        <w:t>燃料物资部</w:t>
      </w:r>
      <w:r>
        <w:rPr>
          <w:rFonts w:hint="eastAsia" w:ascii="仿宋_GB2312" w:hAnsi="Times New Roman" w:eastAsia="仿宋_GB2312" w:cs="Times New Roman"/>
          <w:snapToGrid/>
          <w:kern w:val="2"/>
          <w:sz w:val="24"/>
          <w:szCs w:val="24"/>
          <w:highlight w:val="none"/>
          <w:lang w:val="en-US" w:eastAsia="zh-CN" w:bidi="ar-SA"/>
        </w:rPr>
        <w:t>应将采用理由及评分方案经本单位</w:t>
      </w:r>
      <w:r>
        <w:rPr>
          <w:rFonts w:hint="eastAsia" w:ascii="仿宋_GB2312" w:hAnsi="Times New Roman" w:eastAsia="仿宋_GB2312" w:cs="Times New Roman"/>
          <w:snapToGrid/>
          <w:kern w:val="2"/>
          <w:sz w:val="24"/>
          <w:szCs w:val="24"/>
          <w:lang w:val="en-US" w:eastAsia="zh-CN" w:bidi="ar-SA"/>
        </w:rPr>
        <w:t>燃料采购领导小组</w:t>
      </w:r>
      <w:r>
        <w:rPr>
          <w:rFonts w:hint="eastAsia" w:ascii="仿宋_GB2312" w:hAnsi="Times New Roman" w:eastAsia="仿宋_GB2312" w:cs="Times New Roman"/>
          <w:snapToGrid/>
          <w:kern w:val="2"/>
          <w:sz w:val="24"/>
          <w:szCs w:val="24"/>
          <w:highlight w:val="none"/>
          <w:lang w:val="en-US" w:eastAsia="zh-CN" w:bidi="ar-SA"/>
        </w:rPr>
        <w:t>决策通过后，报陕西公司燃料领导小组进行决策批复。综合评分方法方案中报价评分占比不低于60%、商务评分占比不超过10%、技术评分占比不超过30%。</w:t>
      </w:r>
    </w:p>
    <w:p w14:paraId="0C0CEEC2">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default"/>
          <w:sz w:val="24"/>
          <w:szCs w:val="24"/>
          <w:lang w:val="en-US" w:eastAsia="zh-CN"/>
        </w:rPr>
      </w:pPr>
      <w:r>
        <w:rPr>
          <w:rFonts w:hint="eastAsia" w:ascii="仿宋_GB2312" w:hAnsi="Times New Roman" w:eastAsia="仿宋_GB2312" w:cs="Times New Roman"/>
          <w:snapToGrid/>
          <w:kern w:val="2"/>
          <w:sz w:val="24"/>
          <w:szCs w:val="24"/>
          <w:highlight w:val="none"/>
          <w:lang w:val="en-US" w:eastAsia="zh-CN" w:bidi="ar-SA"/>
        </w:rPr>
        <w:t>5.严禁单一承运商竞价且成交。</w:t>
      </w:r>
    </w:p>
    <w:p w14:paraId="5B89D140">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第九条</w:t>
      </w:r>
      <w:r>
        <w:rPr>
          <w:rFonts w:hint="eastAsia" w:ascii="仿宋_GB2312" w:hAnsi="Times New Roman" w:eastAsia="仿宋_GB2312" w:cs="Times New Roman"/>
          <w:snapToGrid/>
          <w:kern w:val="2"/>
          <w:sz w:val="24"/>
          <w:szCs w:val="24"/>
          <w:lang w:val="en-US" w:eastAsia="zh-CN" w:bidi="ar-SA"/>
        </w:rPr>
        <w:t xml:space="preserve"> 燃料物资部每月应开展一次煤炭运输市场价格调研，掌握国家有关煤炭运输行业政策变化，掌握相关煤矿、站台市场动态及运输市场、运输价格情况。要严格控制物流运输合同的运价和杂费水平，争取行业对标领先优势。</w:t>
      </w:r>
    </w:p>
    <w:p w14:paraId="2EB2204C">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第十条</w:t>
      </w:r>
      <w:r>
        <w:rPr>
          <w:rFonts w:hint="eastAsia" w:ascii="仿宋_GB2312" w:hAnsi="Times New Roman" w:eastAsia="仿宋_GB2312" w:cs="Times New Roman"/>
          <w:snapToGrid/>
          <w:kern w:val="2"/>
          <w:sz w:val="24"/>
          <w:szCs w:val="24"/>
          <w:lang w:val="en-US" w:eastAsia="zh-CN" w:bidi="ar-SA"/>
        </w:rPr>
        <w:t xml:space="preserve"> 承运商管控</w:t>
      </w:r>
    </w:p>
    <w:p w14:paraId="725B8892">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（一）协调承运商按照调运计划提供运力，确保完成承运任务。</w:t>
      </w:r>
    </w:p>
    <w:p w14:paraId="25EC3871">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（二）督促承运商遵守调度纪律，服从应急调运的相关指令。</w:t>
      </w:r>
    </w:p>
    <w:p w14:paraId="349092F4">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（三）定期对调运计划执行情况进行评价，加强对承运商不服从调度情况的考核，确保相关责任落实到位。</w:t>
      </w:r>
    </w:p>
    <w:p w14:paraId="31B5BACB">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第十一条</w:t>
      </w:r>
      <w:r>
        <w:rPr>
          <w:rFonts w:hint="eastAsia" w:ascii="仿宋_GB2312" w:hAnsi="Times New Roman" w:eastAsia="仿宋_GB2312" w:cs="Times New Roman"/>
          <w:snapToGrid/>
          <w:kern w:val="2"/>
          <w:sz w:val="24"/>
          <w:szCs w:val="24"/>
          <w:lang w:val="en-US" w:eastAsia="zh-CN" w:bidi="ar-SA"/>
        </w:rPr>
        <w:t xml:space="preserve"> 出卖人、买受人检斤偏差不应超过对应运输方式运损的上限。其中，汽车运损≤1%，火车运损≤1.2%，</w:t>
      </w:r>
      <w:bookmarkStart w:id="71" w:name="_Hlk122691016"/>
      <w:r>
        <w:rPr>
          <w:rFonts w:hint="eastAsia" w:ascii="仿宋_GB2312" w:hAnsi="Times New Roman" w:eastAsia="仿宋_GB2312" w:cs="Times New Roman"/>
          <w:snapToGrid/>
          <w:kern w:val="2"/>
          <w:sz w:val="24"/>
          <w:szCs w:val="24"/>
          <w:lang w:val="en-US" w:eastAsia="zh-CN" w:bidi="ar-SA"/>
        </w:rPr>
        <w:t>公铁联运换装运损≤2.2%，特殊情况报陕西公司审批</w:t>
      </w:r>
      <w:bookmarkEnd w:id="71"/>
      <w:r>
        <w:rPr>
          <w:rFonts w:hint="eastAsia" w:ascii="仿宋_GB2312" w:hAnsi="Times New Roman" w:eastAsia="仿宋_GB2312" w:cs="Times New Roman"/>
          <w:snapToGrid/>
          <w:kern w:val="2"/>
          <w:sz w:val="24"/>
          <w:szCs w:val="24"/>
          <w:lang w:val="en-US" w:eastAsia="zh-CN" w:bidi="ar-SA"/>
        </w:rPr>
        <w:t>。</w:t>
      </w:r>
    </w:p>
    <w:p w14:paraId="551EC473">
      <w:pPr>
        <w:keepNext w:val="0"/>
        <w:keepLines w:val="0"/>
        <w:pageBreakBefore w:val="0"/>
        <w:kinsoku/>
        <w:wordWrap/>
        <w:overflowPunct/>
        <w:topLinePunct w:val="0"/>
        <w:autoSpaceDE/>
        <w:autoSpaceDN/>
        <w:bidi w:val="0"/>
        <w:adjustRightInd/>
        <w:spacing w:line="240" w:lineRule="auto"/>
        <w:textAlignment w:val="auto"/>
        <w:rPr>
          <w:rFonts w:hint="eastAsia"/>
          <w:sz w:val="24"/>
          <w:szCs w:val="24"/>
          <w:lang w:val="en-US" w:eastAsia="zh-CN"/>
        </w:rPr>
      </w:pPr>
    </w:p>
    <w:p w14:paraId="24319CB2">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r>
        <w:rPr>
          <w:rFonts w:hint="eastAsia" w:ascii="方正小标宋简体" w:hAnsi="黑体" w:eastAsia="方正小标宋简体" w:cs="Times New Roman"/>
          <w:sz w:val="24"/>
          <w:szCs w:val="24"/>
          <w:lang w:val="en-US" w:eastAsia="zh-CN"/>
        </w:rPr>
        <w:t xml:space="preserve"> </w:t>
      </w:r>
      <w:bookmarkStart w:id="72" w:name="_Toc15044"/>
      <w:r>
        <w:rPr>
          <w:rFonts w:hint="eastAsia" w:ascii="方正小标宋简体" w:hAnsi="黑体" w:eastAsia="方正小标宋简体" w:cs="Times New Roman"/>
          <w:sz w:val="24"/>
          <w:szCs w:val="24"/>
          <w:lang w:val="en-US" w:eastAsia="zh-CN"/>
        </w:rPr>
        <w:t>铁路运输管理</w:t>
      </w:r>
      <w:bookmarkEnd w:id="72"/>
    </w:p>
    <w:p w14:paraId="462635DA">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sz w:val="24"/>
          <w:szCs w:val="24"/>
          <w:lang w:val="en-US" w:eastAsia="zh-CN"/>
        </w:rPr>
        <w:t>第十二条</w:t>
      </w:r>
      <w:r>
        <w:rPr>
          <w:rFonts w:hint="eastAsia" w:ascii="仿宋_GB2312" w:hAnsi="Times New Roman" w:eastAsia="仿宋_GB2312" w:cs="Times New Roman"/>
          <w:snapToGrid/>
          <w:kern w:val="2"/>
          <w:sz w:val="24"/>
          <w:szCs w:val="24"/>
          <w:lang w:val="en-US" w:eastAsia="zh-CN" w:bidi="ar-SA"/>
        </w:rPr>
        <w:t xml:space="preserve"> 燃料物资部要随时了解煤矿产、运、销及铁路运输计划等各种信息，及时掌握煤炭供应商（或实际生产矿点）月计划的排定、日计划的请车手续办理、日核准装车和实际装车等环节信息，避免出现卸车空档或集中到达情况。</w:t>
      </w:r>
    </w:p>
    <w:p w14:paraId="353B8AEA">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sz w:val="24"/>
          <w:szCs w:val="24"/>
          <w:lang w:val="en-US" w:eastAsia="zh-CN"/>
        </w:rPr>
        <w:t>第十三条</w:t>
      </w:r>
      <w:r>
        <w:rPr>
          <w:rFonts w:hint="eastAsia" w:ascii="仿宋_GB2312" w:hAnsi="Times New Roman" w:eastAsia="仿宋_GB2312" w:cs="Times New Roman"/>
          <w:snapToGrid/>
          <w:kern w:val="2"/>
          <w:sz w:val="24"/>
          <w:szCs w:val="24"/>
          <w:lang w:val="en-US" w:eastAsia="zh-CN" w:bidi="ar-SA"/>
        </w:rPr>
        <w:t xml:space="preserve"> 燃料质检部应加强接卸组织，提高接卸效率，并做好冻煤接卸，燃料物资部应加强与铁路、煤炭供应商等的联系协作，尽量缩短火车停留时间。</w:t>
      </w:r>
    </w:p>
    <w:p w14:paraId="1395A841">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sz w:val="24"/>
          <w:szCs w:val="24"/>
          <w:lang w:val="en-US" w:eastAsia="zh-CN"/>
        </w:rPr>
        <w:t>第十四条</w:t>
      </w:r>
      <w:r>
        <w:rPr>
          <w:rFonts w:hint="eastAsia" w:ascii="仿宋_GB2312" w:hAnsi="Times New Roman" w:eastAsia="仿宋_GB2312" w:cs="Times New Roman"/>
          <w:snapToGrid/>
          <w:kern w:val="2"/>
          <w:sz w:val="24"/>
          <w:szCs w:val="24"/>
          <w:lang w:val="en-US" w:eastAsia="zh-CN" w:bidi="ar-SA"/>
        </w:rPr>
        <w:t xml:space="preserve"> 驻矿与驻站人员要加强发运数量和质量等基础数据的统计，做好原始资料的收集、整理和保管，每日双方都要认真核对发货、收货以及在途信息，保障数据真实、准确、无差异。</w:t>
      </w:r>
    </w:p>
    <w:p w14:paraId="3F1663C4">
      <w:pPr>
        <w:keepNext w:val="0"/>
        <w:keepLines w:val="0"/>
        <w:pageBreakBefore w:val="0"/>
        <w:kinsoku/>
        <w:wordWrap/>
        <w:overflowPunct/>
        <w:topLinePunct w:val="0"/>
        <w:autoSpaceDE/>
        <w:autoSpaceDN/>
        <w:bidi w:val="0"/>
        <w:adjustRightInd/>
        <w:spacing w:line="240" w:lineRule="auto"/>
        <w:textAlignment w:val="auto"/>
        <w:rPr>
          <w:rFonts w:hint="default"/>
          <w:sz w:val="24"/>
          <w:szCs w:val="24"/>
          <w:lang w:val="en-US" w:eastAsia="zh-CN"/>
        </w:rPr>
      </w:pPr>
    </w:p>
    <w:p w14:paraId="405236FA">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r>
        <w:rPr>
          <w:rFonts w:hint="eastAsia" w:ascii="方正小标宋简体" w:hAnsi="黑体" w:eastAsia="方正小标宋简体" w:cs="Times New Roman"/>
          <w:sz w:val="24"/>
          <w:szCs w:val="24"/>
          <w:lang w:val="en-US" w:eastAsia="zh-CN"/>
        </w:rPr>
        <w:t xml:space="preserve"> </w:t>
      </w:r>
      <w:bookmarkStart w:id="73" w:name="_Toc13225"/>
      <w:r>
        <w:rPr>
          <w:rFonts w:hint="eastAsia" w:ascii="方正小标宋简体" w:hAnsi="黑体" w:eastAsia="方正小标宋简体" w:cs="Times New Roman"/>
          <w:sz w:val="24"/>
          <w:szCs w:val="24"/>
          <w:lang w:val="en-US" w:eastAsia="zh-CN"/>
        </w:rPr>
        <w:t>公路运输管理</w:t>
      </w:r>
      <w:bookmarkEnd w:id="73"/>
    </w:p>
    <w:p w14:paraId="3E9985E5">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sz w:val="24"/>
          <w:szCs w:val="24"/>
          <w:lang w:val="en-US" w:eastAsia="zh-CN"/>
        </w:rPr>
        <w:t>第十六条</w:t>
      </w:r>
      <w:r>
        <w:rPr>
          <w:rFonts w:hint="eastAsia" w:ascii="仿宋_GB2312" w:hAnsi="Times New Roman" w:eastAsia="仿宋_GB2312" w:cs="Times New Roman"/>
          <w:snapToGrid/>
          <w:kern w:val="2"/>
          <w:sz w:val="24"/>
          <w:szCs w:val="24"/>
          <w:lang w:val="en-US" w:eastAsia="zh-CN" w:bidi="ar-SA"/>
        </w:rPr>
        <w:t xml:space="preserve"> 燃料物资部应严格把控坑口装车、上站运输、站场堆存、装车外运等关键环节的数量管理工作，避免由于数量管理漏洞造成损失。</w:t>
      </w:r>
    </w:p>
    <w:p w14:paraId="35C7EAB7">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highlight w:val="none"/>
          <w:lang w:val="en-US" w:eastAsia="zh-CN" w:bidi="ar-SA"/>
        </w:rPr>
      </w:pPr>
      <w:r>
        <w:rPr>
          <w:rFonts w:hint="eastAsia" w:ascii="黑体" w:hAnsi="黑体" w:eastAsia="黑体" w:cs="Times New Roman"/>
          <w:sz w:val="24"/>
          <w:szCs w:val="24"/>
          <w:lang w:val="en-US" w:eastAsia="zh-CN"/>
        </w:rPr>
        <w:t>第十七条</w:t>
      </w:r>
      <w:r>
        <w:rPr>
          <w:rFonts w:hint="eastAsia" w:ascii="仿宋_GB2312" w:hAnsi="Times New Roman" w:eastAsia="仿宋_GB2312" w:cs="Times New Roman"/>
          <w:snapToGrid/>
          <w:kern w:val="2"/>
          <w:sz w:val="24"/>
          <w:szCs w:val="24"/>
          <w:lang w:val="en-US" w:eastAsia="zh-CN" w:bidi="ar-SA"/>
        </w:rPr>
        <w:t xml:space="preserve"> 燃料质检部应做好对采购计量环节的管理工作，重量计量必须使用符合国家计量标准且检定合格的衡器，规范出具计量单据</w:t>
      </w:r>
      <w:r>
        <w:rPr>
          <w:rFonts w:hint="eastAsia" w:ascii="仿宋_GB2312" w:hAnsi="Times New Roman" w:eastAsia="仿宋_GB2312" w:cs="Times New Roman"/>
          <w:snapToGrid/>
          <w:color w:val="auto"/>
          <w:kern w:val="2"/>
          <w:sz w:val="24"/>
          <w:szCs w:val="24"/>
          <w:lang w:val="en-US" w:eastAsia="zh-CN" w:bidi="ar-SA"/>
        </w:rPr>
        <w:t>。对于坑口采购方式，应建立对汽车运输装、卸两端计量数据的核对制度，建立对汽车运输过程的监督和检查机制，减少运输过程中的途损，卸车计量亏吨的损失原则上应由承运商承担</w:t>
      </w:r>
      <w:r>
        <w:rPr>
          <w:rFonts w:hint="eastAsia" w:ascii="仿宋_GB2312" w:hAnsi="Times New Roman" w:eastAsia="仿宋_GB2312" w:cs="Times New Roman"/>
          <w:snapToGrid/>
          <w:color w:val="auto"/>
          <w:kern w:val="2"/>
          <w:sz w:val="24"/>
          <w:szCs w:val="24"/>
          <w:highlight w:val="none"/>
          <w:lang w:val="en-US" w:eastAsia="zh-CN" w:bidi="ar-SA"/>
        </w:rPr>
        <w:t>。</w:t>
      </w:r>
    </w:p>
    <w:p w14:paraId="13EB6A65">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highlight w:val="none"/>
          <w:lang w:val="en-US" w:eastAsia="zh-CN" w:bidi="ar-SA"/>
        </w:rPr>
      </w:pPr>
      <w:r>
        <w:rPr>
          <w:rFonts w:hint="eastAsia" w:ascii="黑体" w:hAnsi="黑体" w:eastAsia="黑体" w:cs="Times New Roman"/>
          <w:sz w:val="24"/>
          <w:szCs w:val="24"/>
          <w:highlight w:val="none"/>
          <w:lang w:val="en-US" w:eastAsia="zh-CN"/>
        </w:rPr>
        <w:t>第十八条</w:t>
      </w:r>
      <w:r>
        <w:rPr>
          <w:rFonts w:hint="eastAsia" w:ascii="仿宋_GB2312" w:hAnsi="Times New Roman" w:eastAsia="仿宋_GB2312" w:cs="Times New Roman"/>
          <w:snapToGrid/>
          <w:kern w:val="2"/>
          <w:sz w:val="24"/>
          <w:szCs w:val="24"/>
          <w:highlight w:val="none"/>
          <w:lang w:val="en-US" w:eastAsia="zh-CN" w:bidi="ar-SA"/>
        </w:rPr>
        <w:t xml:space="preserve"> 燃料物</w:t>
      </w:r>
      <w:r>
        <w:rPr>
          <w:rFonts w:hint="eastAsia" w:ascii="仿宋_GB2312" w:hAnsi="Times New Roman" w:eastAsia="仿宋_GB2312" w:cs="Times New Roman"/>
          <w:snapToGrid/>
          <w:color w:val="auto"/>
          <w:kern w:val="2"/>
          <w:sz w:val="24"/>
          <w:szCs w:val="24"/>
          <w:highlight w:val="none"/>
          <w:lang w:val="en-US" w:eastAsia="zh-CN" w:bidi="ar-SA"/>
        </w:rPr>
        <w:t>资部应建立公路运输质量管理控制流程和煤质事故追查制度。</w:t>
      </w:r>
    </w:p>
    <w:p w14:paraId="722FFF66">
      <w:pPr>
        <w:pStyle w:val="4"/>
        <w:keepNext w:val="0"/>
        <w:keepLines w:val="0"/>
        <w:pageBreakBefore w:val="0"/>
        <w:numPr>
          <w:ilvl w:val="0"/>
          <w:numId w:val="0"/>
        </w:numPr>
        <w:tabs>
          <w:tab w:val="left" w:pos="0"/>
        </w:tabs>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sz w:val="24"/>
          <w:szCs w:val="24"/>
          <w:lang w:val="en-US" w:eastAsia="zh-CN"/>
        </w:rPr>
        <w:t>第十九条</w:t>
      </w:r>
      <w:r>
        <w:rPr>
          <w:rFonts w:hint="eastAsia" w:ascii="仿宋_GB2312" w:hAnsi="Times New Roman" w:eastAsia="仿宋_GB2312" w:cs="Times New Roman"/>
          <w:snapToGrid/>
          <w:kern w:val="2"/>
          <w:sz w:val="24"/>
          <w:szCs w:val="24"/>
          <w:lang w:val="en-US" w:eastAsia="zh-CN" w:bidi="ar-SA"/>
        </w:rPr>
        <w:t xml:space="preserve"> 燃料物资部应加强承运车辆管理，燃料质检部要做好承运商车辆接卸、过磅和在途调度工作，保障人身设备安全，维持车辆调度秩序，对不服从管理的车辆，应对承运商进行考核。 </w:t>
      </w:r>
    </w:p>
    <w:p w14:paraId="40CD073F">
      <w:pPr>
        <w:pStyle w:val="7"/>
        <w:keepNext w:val="0"/>
        <w:keepLines w:val="0"/>
        <w:pageBreakBefore w:val="0"/>
        <w:kinsoku/>
        <w:wordWrap/>
        <w:overflowPunct/>
        <w:topLinePunct w:val="0"/>
        <w:autoSpaceDE/>
        <w:autoSpaceDN/>
        <w:bidi w:val="0"/>
        <w:adjustRightInd/>
        <w:spacing w:line="240" w:lineRule="auto"/>
        <w:ind w:left="0" w:leftChars="0" w:firstLine="480" w:firstLineChars="200"/>
        <w:textAlignment w:val="auto"/>
        <w:rPr>
          <w:rFonts w:hint="eastAsia" w:ascii="仿宋_GB2312" w:hAnsi="Times New Roman" w:eastAsia="仿宋_GB2312" w:cs="Times New Roman"/>
          <w:snapToGrid/>
          <w:kern w:val="2"/>
          <w:sz w:val="24"/>
          <w:szCs w:val="24"/>
          <w:lang w:val="en-US" w:eastAsia="zh-CN" w:bidi="ar-SA"/>
        </w:rPr>
      </w:pPr>
      <w:bookmarkStart w:id="74" w:name="_Hlk91415854"/>
      <w:r>
        <w:rPr>
          <w:rFonts w:hint="eastAsia" w:ascii="仿宋_GB2312" w:hAnsi="Times New Roman" w:eastAsia="仿宋_GB2312" w:cs="Times New Roman"/>
          <w:snapToGrid/>
          <w:kern w:val="2"/>
          <w:sz w:val="24"/>
          <w:szCs w:val="24"/>
          <w:lang w:val="en-US" w:eastAsia="zh-CN" w:bidi="ar-SA"/>
        </w:rPr>
        <w:t>（一）</w:t>
      </w:r>
      <w:bookmarkEnd w:id="74"/>
      <w:r>
        <w:rPr>
          <w:rFonts w:hint="eastAsia" w:ascii="仿宋_GB2312" w:hAnsi="Times New Roman" w:eastAsia="仿宋_GB2312" w:cs="Times New Roman"/>
          <w:snapToGrid/>
          <w:kern w:val="2"/>
          <w:sz w:val="24"/>
          <w:szCs w:val="24"/>
          <w:lang w:val="en-US" w:eastAsia="zh-CN" w:bidi="ar-SA"/>
        </w:rPr>
        <w:t>承运商应在煤矿、站台安排现场管理员，负责车辆调度和上下游业务协调，做好装车开票、车辆秩序维护、煤炭安全巡查、封签检查、到货接卸、磅单收集统计复核等现场管理工作。</w:t>
      </w:r>
    </w:p>
    <w:p w14:paraId="00D69FC5">
      <w:pPr>
        <w:pStyle w:val="7"/>
        <w:keepNext w:val="0"/>
        <w:keepLines w:val="0"/>
        <w:pageBreakBefore w:val="0"/>
        <w:kinsoku/>
        <w:wordWrap/>
        <w:overflowPunct/>
        <w:topLinePunct w:val="0"/>
        <w:autoSpaceDE/>
        <w:autoSpaceDN/>
        <w:bidi w:val="0"/>
        <w:adjustRightInd/>
        <w:spacing w:line="240" w:lineRule="auto"/>
        <w:ind w:left="0" w:leftChars="0"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（二）承运商应实时掌握运输车辆情况，车辆出矿前必须加盖篷布，严密遮盖，同时做好车辆封签。</w:t>
      </w:r>
    </w:p>
    <w:p w14:paraId="33971334">
      <w:pPr>
        <w:pStyle w:val="7"/>
        <w:keepNext w:val="0"/>
        <w:keepLines w:val="0"/>
        <w:pageBreakBefore w:val="0"/>
        <w:kinsoku/>
        <w:wordWrap/>
        <w:overflowPunct/>
        <w:topLinePunct w:val="0"/>
        <w:autoSpaceDE/>
        <w:autoSpaceDN/>
        <w:bidi w:val="0"/>
        <w:adjustRightInd/>
        <w:spacing w:line="240" w:lineRule="auto"/>
        <w:ind w:left="0" w:leftChars="0"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（三）承运商在运输过程中偷、换煤炭的，应按照合同约定扣除承运商履约保证金，并承担因此对甲方造成的一切损失，情节严重时移交司法机关。</w:t>
      </w:r>
    </w:p>
    <w:p w14:paraId="5904EE1F">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（四）运输过程中，因特殊情况承运商不能按要求完成运输任务的，如煤炭高温自燃、异常天气等自然灾害影响的，应及时告知甲方。</w:t>
      </w:r>
    </w:p>
    <w:p w14:paraId="13CA402A">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p>
    <w:p w14:paraId="3A630695">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bookmarkStart w:id="75" w:name="_Hlk40862695"/>
      <w:r>
        <w:rPr>
          <w:rFonts w:hint="eastAsia" w:ascii="方正小标宋简体" w:hAnsi="黑体" w:eastAsia="方正小标宋简体" w:cs="Times New Roman"/>
          <w:sz w:val="24"/>
          <w:szCs w:val="24"/>
          <w:lang w:val="en-US" w:eastAsia="zh-CN"/>
        </w:rPr>
        <w:t xml:space="preserve"> </w:t>
      </w:r>
      <w:bookmarkStart w:id="76" w:name="_Toc30270"/>
      <w:r>
        <w:rPr>
          <w:rFonts w:hint="eastAsia" w:ascii="方正小标宋简体" w:hAnsi="黑体" w:eastAsia="方正小标宋简体" w:cs="Times New Roman"/>
          <w:sz w:val="24"/>
          <w:szCs w:val="24"/>
          <w:lang w:val="en-US" w:eastAsia="zh-CN"/>
        </w:rPr>
        <w:t>监督与检查</w:t>
      </w:r>
      <w:bookmarkEnd w:id="75"/>
      <w:bookmarkEnd w:id="76"/>
    </w:p>
    <w:p w14:paraId="2A1ED827">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w:t>
      </w:r>
      <w:r>
        <w:rPr>
          <w:rFonts w:hint="eastAsia" w:ascii="黑体" w:hAnsi="黑体" w:eastAsia="黑体" w:cs="Times New Roman"/>
          <w:sz w:val="24"/>
          <w:szCs w:val="24"/>
          <w:lang w:val="en-US" w:eastAsia="zh-CN"/>
        </w:rPr>
        <w:t>二十</w:t>
      </w:r>
      <w:r>
        <w:rPr>
          <w:rFonts w:hint="eastAsia" w:ascii="黑体" w:hAnsi="黑体" w:eastAsia="黑体" w:cs="Times New Roman"/>
          <w:kern w:val="2"/>
          <w:sz w:val="24"/>
          <w:szCs w:val="24"/>
          <w:lang w:val="en-US" w:eastAsia="zh-CN" w:bidi="ar-SA"/>
        </w:rPr>
        <w:t>条</w:t>
      </w:r>
      <w:r>
        <w:rPr>
          <w:rFonts w:hint="eastAsia" w:ascii="仿宋_GB2312" w:hAnsi="Times New Roman" w:eastAsia="仿宋_GB2312" w:cs="Times New Roman"/>
          <w:snapToGrid/>
          <w:kern w:val="2"/>
          <w:sz w:val="24"/>
          <w:szCs w:val="24"/>
          <w:lang w:val="en-US" w:eastAsia="zh-CN" w:bidi="ar-SA"/>
        </w:rPr>
        <w:t xml:space="preserve"> </w:t>
      </w:r>
      <w:bookmarkStart w:id="77" w:name="_Ref122512891"/>
      <w:r>
        <w:rPr>
          <w:rFonts w:hint="eastAsia" w:ascii="仿宋_GB2312" w:hAnsi="Times New Roman" w:eastAsia="仿宋_GB2312" w:cs="Times New Roman"/>
          <w:snapToGrid/>
          <w:kern w:val="2"/>
          <w:sz w:val="24"/>
          <w:szCs w:val="24"/>
          <w:lang w:val="en-US" w:eastAsia="zh-CN" w:bidi="ar-SA"/>
        </w:rPr>
        <w:t>燃料物资部在煤炭物流运输管理过程中不得有以下行为：</w:t>
      </w:r>
      <w:bookmarkEnd w:id="77"/>
    </w:p>
    <w:p w14:paraId="47E66ED0">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（一）因管理不到位造成运输中断导致缺煤限负荷或限供热、停机或停热等情况，或者发生货物损失的。</w:t>
      </w:r>
    </w:p>
    <w:p w14:paraId="49A98E93">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（二）对承运商准入、评价把关不严，或违规使用已“停用”承运商、已列入集团公司“黑名单”的承运商等。</w:t>
      </w:r>
    </w:p>
    <w:p w14:paraId="4706B7BF">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（三）未经批准实施中长期或市场运力采购，包括未按照有关中长期合同、市场竞价议价等程序进行审批和备案的等。</w:t>
      </w:r>
    </w:p>
    <w:p w14:paraId="688D31BB">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（四）利用职务之便为亲友或其他关系人经营电煤运输物流提供便利，损害企业利益的，以及违反廉洁从业规定以权谋私、索贿受贿的。</w:t>
      </w:r>
    </w:p>
    <w:p w14:paraId="3D89A11E">
      <w:pPr>
        <w:pStyle w:val="5"/>
        <w:keepNext w:val="0"/>
        <w:keepLines w:val="0"/>
        <w:pageBreakBefore w:val="0"/>
        <w:numPr>
          <w:ilvl w:val="0"/>
          <w:numId w:val="0"/>
        </w:numPr>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仿宋_GB2312" w:hAnsi="Times New Roman" w:eastAsia="仿宋_GB2312" w:cs="Times New Roman"/>
          <w:snapToGrid/>
          <w:kern w:val="2"/>
          <w:sz w:val="24"/>
          <w:szCs w:val="24"/>
          <w:lang w:val="en-US" w:eastAsia="zh-CN" w:bidi="ar-SA"/>
        </w:rPr>
        <w:t>（五）其他违反国家法律法规和陕西公司管理制度的行为。</w:t>
      </w:r>
    </w:p>
    <w:p w14:paraId="049CF467">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第二十一条</w:t>
      </w:r>
      <w:r>
        <w:rPr>
          <w:rFonts w:hint="eastAsia" w:ascii="仿宋_GB2312" w:hAnsi="Times New Roman" w:eastAsia="仿宋_GB2312" w:cs="Times New Roman"/>
          <w:snapToGrid/>
          <w:kern w:val="2"/>
          <w:sz w:val="24"/>
          <w:szCs w:val="24"/>
          <w:lang w:val="en-US" w:eastAsia="zh-CN" w:bidi="ar-SA"/>
        </w:rPr>
        <w:t xml:space="preserve"> 对于本规定第</w:t>
      </w:r>
      <w:r>
        <w:rPr>
          <w:rFonts w:hint="eastAsia" w:ascii="仿宋_GB2312" w:hAnsi="Times New Roman" w:eastAsia="仿宋_GB2312" w:cs="Times New Roman"/>
          <w:snapToGrid/>
          <w:kern w:val="2"/>
          <w:sz w:val="24"/>
          <w:szCs w:val="24"/>
          <w:highlight w:val="none"/>
          <w:lang w:val="en-US" w:eastAsia="zh-CN" w:bidi="ar-SA"/>
        </w:rPr>
        <w:t>二十条所</w:t>
      </w:r>
      <w:r>
        <w:rPr>
          <w:rFonts w:hint="eastAsia" w:ascii="仿宋_GB2312" w:hAnsi="Times New Roman" w:eastAsia="仿宋_GB2312" w:cs="Times New Roman"/>
          <w:snapToGrid/>
          <w:kern w:val="2"/>
          <w:sz w:val="24"/>
          <w:szCs w:val="24"/>
          <w:lang w:val="en-US" w:eastAsia="zh-CN" w:bidi="ar-SA"/>
        </w:rPr>
        <w:t>列行为，按以下原则进行处理：对于未造成损失或负面影响的，按照《</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napToGrid/>
          <w:kern w:val="2"/>
          <w:sz w:val="24"/>
          <w:szCs w:val="24"/>
          <w:lang w:val="en-US" w:eastAsia="zh-CN" w:bidi="ar-SA"/>
        </w:rPr>
        <w:t>督查督办管理办法》规定，对责任人予以提醒、约谈、警示；对于造成国有资产损失或其他严重不良后果的，按照《中央企业违规经营投资责任追究实施办法（试行）》及陕西公司、</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napToGrid/>
          <w:kern w:val="2"/>
          <w:sz w:val="24"/>
          <w:szCs w:val="24"/>
          <w:lang w:val="en-US" w:eastAsia="zh-CN" w:bidi="ar-SA"/>
        </w:rPr>
        <w:t>相关规定，对责任人进行相应处理；对于涉及违纪或职务违法的，移交纪检监察部门处理。</w:t>
      </w:r>
    </w:p>
    <w:p w14:paraId="63D305C6">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p>
    <w:p w14:paraId="72F89E35">
      <w:pPr>
        <w:keepNext w:val="0"/>
        <w:keepLines w:val="0"/>
        <w:pageBreakBefore w:val="0"/>
        <w:widowControl w:val="0"/>
        <w:numPr>
          <w:ilvl w:val="0"/>
          <w:numId w:val="8"/>
        </w:numPr>
        <w:kinsoku/>
        <w:wordWrap/>
        <w:overflowPunct/>
        <w:topLinePunct w:val="0"/>
        <w:autoSpaceDE/>
        <w:autoSpaceDN/>
        <w:bidi w:val="0"/>
        <w:adjustRightInd/>
        <w:snapToGrid/>
        <w:spacing w:line="240" w:lineRule="auto"/>
        <w:ind w:left="0" w:leftChars="0" w:firstLine="0" w:firstLineChars="0"/>
        <w:jc w:val="center"/>
        <w:textAlignment w:val="auto"/>
        <w:outlineLvl w:val="0"/>
        <w:rPr>
          <w:rFonts w:hint="eastAsia" w:ascii="方正小标宋简体" w:hAnsi="黑体" w:eastAsia="方正小标宋简体" w:cs="Times New Roman"/>
          <w:sz w:val="24"/>
          <w:szCs w:val="24"/>
          <w:lang w:val="en-US" w:eastAsia="zh-CN"/>
        </w:rPr>
      </w:pPr>
      <w:bookmarkStart w:id="78" w:name="_Toc500524595"/>
      <w:r>
        <w:rPr>
          <w:rFonts w:hint="eastAsia" w:ascii="方正小标宋简体" w:hAnsi="黑体" w:eastAsia="方正小标宋简体" w:cs="Times New Roman"/>
          <w:sz w:val="24"/>
          <w:szCs w:val="24"/>
          <w:lang w:val="en-US" w:eastAsia="zh-CN"/>
        </w:rPr>
        <w:t xml:space="preserve"> </w:t>
      </w:r>
      <w:bookmarkStart w:id="79" w:name="_Toc22690"/>
      <w:r>
        <w:rPr>
          <w:rFonts w:hint="eastAsia" w:ascii="方正小标宋简体" w:hAnsi="黑体" w:eastAsia="方正小标宋简体" w:cs="Times New Roman"/>
          <w:sz w:val="24"/>
          <w:szCs w:val="24"/>
          <w:lang w:val="en-US" w:eastAsia="zh-CN"/>
        </w:rPr>
        <w:t>附  则</w:t>
      </w:r>
      <w:bookmarkEnd w:id="78"/>
      <w:bookmarkEnd w:id="79"/>
    </w:p>
    <w:p w14:paraId="030FC3DA">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第二十二条</w:t>
      </w:r>
      <w:r>
        <w:rPr>
          <w:rFonts w:hint="eastAsia" w:ascii="仿宋_GB2312" w:hAnsi="Times New Roman" w:eastAsia="仿宋_GB2312" w:cs="Times New Roman"/>
          <w:snapToGrid/>
          <w:kern w:val="2"/>
          <w:sz w:val="24"/>
          <w:szCs w:val="24"/>
          <w:lang w:val="en-US" w:eastAsia="zh-CN" w:bidi="ar-SA"/>
        </w:rPr>
        <w:t xml:space="preserve"> 涉及关联交易的，应遵照法律法规做好相关决策和披露程序，确保采购依法、合规进行。</w:t>
      </w:r>
    </w:p>
    <w:p w14:paraId="4B364065">
      <w:pPr>
        <w:keepNext w:val="0"/>
        <w:keepLines w:val="0"/>
        <w:pageBreakBefore w:val="0"/>
        <w:widowControl/>
        <w:kinsoku/>
        <w:wordWrap/>
        <w:overflowPunct/>
        <w:topLinePunct w:val="0"/>
        <w:autoSpaceDE/>
        <w:autoSpaceDN/>
        <w:bidi w:val="0"/>
        <w:adjustRightInd/>
        <w:spacing w:line="240" w:lineRule="auto"/>
        <w:ind w:firstLine="480" w:firstLineChars="200"/>
        <w:textAlignment w:val="auto"/>
        <w:rPr>
          <w:rFonts w:hint="eastAsia" w:ascii="仿宋_GB2312" w:hAnsi="Times New Roman" w:eastAsia="仿宋_GB2312" w:cs="Times New Roman"/>
          <w:snapToGrid/>
          <w:kern w:val="2"/>
          <w:sz w:val="24"/>
          <w:szCs w:val="24"/>
          <w:lang w:val="en-US" w:eastAsia="zh-CN" w:bidi="ar-SA"/>
        </w:rPr>
      </w:pPr>
      <w:r>
        <w:rPr>
          <w:rFonts w:hint="eastAsia" w:ascii="黑体" w:hAnsi="黑体" w:eastAsia="黑体" w:cs="Times New Roman"/>
          <w:kern w:val="2"/>
          <w:sz w:val="24"/>
          <w:szCs w:val="24"/>
          <w:lang w:val="en-US" w:eastAsia="zh-CN" w:bidi="ar-SA"/>
        </w:rPr>
        <w:t>第二十三条</w:t>
      </w:r>
      <w:r>
        <w:rPr>
          <w:rFonts w:hint="eastAsia" w:ascii="仿宋_GB2312" w:hAnsi="Times New Roman" w:eastAsia="仿宋_GB2312" w:cs="Times New Roman"/>
          <w:snapToGrid/>
          <w:kern w:val="2"/>
          <w:sz w:val="24"/>
          <w:szCs w:val="24"/>
          <w:lang w:val="en-US" w:eastAsia="zh-CN" w:bidi="ar-SA"/>
        </w:rPr>
        <w:t xml:space="preserve"> 本办法由</w:t>
      </w:r>
      <w:r>
        <w:rPr>
          <w:rFonts w:hint="eastAsia" w:ascii="仿宋_GB2312" w:eastAsia="仿宋_GB2312"/>
          <w:sz w:val="24"/>
          <w:szCs w:val="24"/>
          <w:lang w:val="en-US" w:eastAsia="zh-CN"/>
        </w:rPr>
        <w:t>大唐延安热电厂</w:t>
      </w:r>
      <w:r>
        <w:rPr>
          <w:rFonts w:hint="eastAsia" w:ascii="仿宋_GB2312" w:hAnsi="Times New Roman" w:eastAsia="仿宋_GB2312" w:cs="Times New Roman"/>
          <w:snapToGrid/>
          <w:kern w:val="2"/>
          <w:sz w:val="24"/>
          <w:szCs w:val="24"/>
          <w:lang w:val="en-US" w:eastAsia="zh-CN" w:bidi="ar-SA"/>
        </w:rPr>
        <w:t>燃料物资部负责解释并监督施行。</w:t>
      </w:r>
    </w:p>
    <w:p w14:paraId="5702E4CD">
      <w:pPr>
        <w:keepNext w:val="0"/>
        <w:keepLines w:val="0"/>
        <w:pageBreakBefore w:val="0"/>
        <w:kinsoku/>
        <w:wordWrap/>
        <w:overflowPunct/>
        <w:topLinePunct w:val="0"/>
        <w:autoSpaceDE/>
        <w:autoSpaceDN/>
        <w:bidi w:val="0"/>
        <w:adjustRightInd/>
        <w:spacing w:line="240" w:lineRule="auto"/>
        <w:ind w:firstLine="480" w:firstLineChars="200"/>
        <w:textAlignment w:val="auto"/>
        <w:rPr>
          <w:rFonts w:hint="eastAsia" w:ascii="宋体" w:hAnsi="宋体"/>
          <w:b/>
          <w:sz w:val="24"/>
          <w:szCs w:val="24"/>
        </w:rPr>
      </w:pPr>
      <w:r>
        <w:rPr>
          <w:rFonts w:hint="eastAsia" w:ascii="黑体" w:hAnsi="黑体" w:eastAsia="黑体" w:cs="Times New Roman"/>
          <w:kern w:val="2"/>
          <w:sz w:val="24"/>
          <w:szCs w:val="24"/>
          <w:lang w:val="en-US" w:eastAsia="zh-CN" w:bidi="ar-SA"/>
        </w:rPr>
        <w:t>第二十四条</w:t>
      </w:r>
      <w:r>
        <w:rPr>
          <w:rFonts w:hint="eastAsia" w:ascii="仿宋_GB2312" w:hAnsi="Times New Roman" w:eastAsia="仿宋_GB2312" w:cs="Times New Roman"/>
          <w:snapToGrid/>
          <w:kern w:val="2"/>
          <w:sz w:val="24"/>
          <w:szCs w:val="24"/>
          <w:lang w:val="en-US" w:eastAsia="zh-CN" w:bidi="ar-SA"/>
        </w:rPr>
        <w:t xml:space="preserve"> 本办法自发布之日起执行。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999CC"/>
    <w:multiLevelType w:val="singleLevel"/>
    <w:tmpl w:val="C7A999CC"/>
    <w:lvl w:ilvl="0" w:tentative="0">
      <w:start w:val="1"/>
      <w:numFmt w:val="chineseCounting"/>
      <w:suff w:val="space"/>
      <w:lvlText w:val="第%1章"/>
      <w:lvlJc w:val="left"/>
      <w:rPr>
        <w:rFonts w:hint="eastAsia"/>
      </w:rPr>
    </w:lvl>
  </w:abstractNum>
  <w:abstractNum w:abstractNumId="1">
    <w:nsid w:val="00000001"/>
    <w:multiLevelType w:val="multilevel"/>
    <w:tmpl w:val="00000001"/>
    <w:lvl w:ilvl="0" w:tentative="0">
      <w:start w:val="1"/>
      <w:numFmt w:val="chineseCountingThousand"/>
      <w:pStyle w:val="2"/>
      <w:lvlText w:val="第%1章"/>
      <w:lvlJc w:val="left"/>
      <w:pPr>
        <w:ind w:left="0" w:firstLine="641"/>
      </w:pPr>
      <w:rPr>
        <w:rFonts w:hint="eastAsia" w:ascii="仿宋_GB2312" w:hAnsi="Calibri" w:eastAsia="仿宋_GB2312" w:cs="仿宋_GB2312"/>
        <w:b/>
        <w:i w:val="0"/>
        <w:sz w:val="32"/>
      </w:rPr>
    </w:lvl>
    <w:lvl w:ilvl="1" w:tentative="0">
      <w:start w:val="1"/>
      <w:numFmt w:val="lowerLetter"/>
      <w:lvlText w:val="%2)"/>
      <w:lvlJc w:val="left"/>
      <w:pPr>
        <w:ind w:left="1464" w:hanging="420"/>
      </w:pPr>
    </w:lvl>
    <w:lvl w:ilvl="2" w:tentative="0">
      <w:start w:val="1"/>
      <w:numFmt w:val="lowerRoman"/>
      <w:lvlText w:val="%3."/>
      <w:lvlJc w:val="right"/>
      <w:pPr>
        <w:ind w:left="1884" w:hanging="420"/>
      </w:pPr>
    </w:lvl>
    <w:lvl w:ilvl="3" w:tentative="0">
      <w:start w:val="1"/>
      <w:numFmt w:val="decimal"/>
      <w:lvlText w:val="%4."/>
      <w:lvlJc w:val="left"/>
      <w:pPr>
        <w:ind w:left="2304" w:hanging="420"/>
      </w:pPr>
    </w:lvl>
    <w:lvl w:ilvl="4" w:tentative="0">
      <w:start w:val="1"/>
      <w:numFmt w:val="lowerLetter"/>
      <w:lvlText w:val="%5)"/>
      <w:lvlJc w:val="left"/>
      <w:pPr>
        <w:ind w:left="2724" w:hanging="420"/>
      </w:pPr>
    </w:lvl>
    <w:lvl w:ilvl="5" w:tentative="0">
      <w:start w:val="1"/>
      <w:numFmt w:val="lowerRoman"/>
      <w:lvlText w:val="%6."/>
      <w:lvlJc w:val="right"/>
      <w:pPr>
        <w:ind w:left="3144" w:hanging="420"/>
      </w:pPr>
    </w:lvl>
    <w:lvl w:ilvl="6" w:tentative="0">
      <w:start w:val="1"/>
      <w:numFmt w:val="decimal"/>
      <w:lvlText w:val="%7."/>
      <w:lvlJc w:val="left"/>
      <w:pPr>
        <w:ind w:left="3564" w:hanging="420"/>
      </w:pPr>
    </w:lvl>
    <w:lvl w:ilvl="7" w:tentative="0">
      <w:start w:val="1"/>
      <w:numFmt w:val="lowerLetter"/>
      <w:lvlText w:val="%8)"/>
      <w:lvlJc w:val="left"/>
      <w:pPr>
        <w:ind w:left="3984" w:hanging="420"/>
      </w:pPr>
    </w:lvl>
    <w:lvl w:ilvl="8" w:tentative="0">
      <w:start w:val="1"/>
      <w:numFmt w:val="lowerRoman"/>
      <w:lvlText w:val="%9."/>
      <w:lvlJc w:val="right"/>
      <w:pPr>
        <w:ind w:left="4404" w:hanging="420"/>
      </w:pPr>
    </w:lvl>
  </w:abstractNum>
  <w:abstractNum w:abstractNumId="2">
    <w:nsid w:val="00000004"/>
    <w:multiLevelType w:val="multilevel"/>
    <w:tmpl w:val="00000004"/>
    <w:lvl w:ilvl="0" w:tentative="0">
      <w:start w:val="1"/>
      <w:numFmt w:val="chineseCountingThousand"/>
      <w:pStyle w:val="5"/>
      <w:suff w:val="nothing"/>
      <w:lvlText w:val="（%1）"/>
      <w:lvlJc w:val="left"/>
      <w:pPr>
        <w:ind w:left="0" w:firstLine="635"/>
      </w:pPr>
    </w:lvl>
    <w:lvl w:ilvl="1" w:tentative="0">
      <w:start w:val="1"/>
      <w:numFmt w:val="lowerLetter"/>
      <w:lvlText w:val="%2)"/>
      <w:lvlJc w:val="left"/>
      <w:pPr>
        <w:ind w:left="1475" w:hanging="420"/>
      </w:pPr>
      <w:rPr>
        <w:rFonts w:hint="eastAsia"/>
      </w:rPr>
    </w:lvl>
    <w:lvl w:ilvl="2" w:tentative="0">
      <w:start w:val="1"/>
      <w:numFmt w:val="lowerRoman"/>
      <w:lvlText w:val="%3."/>
      <w:lvlJc w:val="right"/>
      <w:pPr>
        <w:ind w:left="1895" w:hanging="420"/>
      </w:pPr>
      <w:rPr>
        <w:rFonts w:hint="eastAsia"/>
      </w:rPr>
    </w:lvl>
    <w:lvl w:ilvl="3" w:tentative="0">
      <w:start w:val="1"/>
      <w:numFmt w:val="decimal"/>
      <w:lvlText w:val="%4."/>
      <w:lvlJc w:val="left"/>
      <w:pPr>
        <w:ind w:left="2315" w:hanging="420"/>
      </w:pPr>
      <w:rPr>
        <w:rFonts w:hint="eastAsia"/>
      </w:rPr>
    </w:lvl>
    <w:lvl w:ilvl="4" w:tentative="0">
      <w:start w:val="1"/>
      <w:numFmt w:val="lowerLetter"/>
      <w:lvlText w:val="%5)"/>
      <w:lvlJc w:val="left"/>
      <w:pPr>
        <w:ind w:left="2735" w:hanging="420"/>
      </w:pPr>
      <w:rPr>
        <w:rFonts w:hint="eastAsia"/>
      </w:rPr>
    </w:lvl>
    <w:lvl w:ilvl="5" w:tentative="0">
      <w:start w:val="1"/>
      <w:numFmt w:val="lowerRoman"/>
      <w:lvlText w:val="%6."/>
      <w:lvlJc w:val="right"/>
      <w:pPr>
        <w:ind w:left="3155" w:hanging="420"/>
      </w:pPr>
      <w:rPr>
        <w:rFonts w:hint="eastAsia"/>
      </w:rPr>
    </w:lvl>
    <w:lvl w:ilvl="6" w:tentative="0">
      <w:start w:val="1"/>
      <w:numFmt w:val="decimal"/>
      <w:lvlText w:val="%7."/>
      <w:lvlJc w:val="left"/>
      <w:pPr>
        <w:ind w:left="3575" w:hanging="420"/>
      </w:pPr>
      <w:rPr>
        <w:rFonts w:hint="eastAsia"/>
      </w:rPr>
    </w:lvl>
    <w:lvl w:ilvl="7" w:tentative="0">
      <w:start w:val="1"/>
      <w:numFmt w:val="lowerLetter"/>
      <w:lvlText w:val="%8)"/>
      <w:lvlJc w:val="left"/>
      <w:pPr>
        <w:ind w:left="3995" w:hanging="420"/>
      </w:pPr>
      <w:rPr>
        <w:rFonts w:hint="eastAsia"/>
      </w:rPr>
    </w:lvl>
    <w:lvl w:ilvl="8" w:tentative="0">
      <w:start w:val="1"/>
      <w:numFmt w:val="lowerRoman"/>
      <w:lvlText w:val="%9."/>
      <w:lvlJc w:val="right"/>
      <w:pPr>
        <w:ind w:left="4415" w:hanging="420"/>
      </w:pPr>
      <w:rPr>
        <w:rFonts w:hint="eastAsia"/>
      </w:rPr>
    </w:lvl>
  </w:abstractNum>
  <w:abstractNum w:abstractNumId="3">
    <w:nsid w:val="1B177710"/>
    <w:multiLevelType w:val="multilevel"/>
    <w:tmpl w:val="1B177710"/>
    <w:lvl w:ilvl="0" w:tentative="0">
      <w:start w:val="1"/>
      <w:numFmt w:val="chineseCountingThousand"/>
      <w:pStyle w:val="4"/>
      <w:suff w:val="space"/>
      <w:lvlText w:val="第%1条"/>
      <w:lvlJc w:val="left"/>
      <w:pPr>
        <w:ind w:left="0" w:firstLine="641"/>
      </w:pPr>
      <w:rPr>
        <w:rFonts w:hint="default" w:ascii="黑体" w:eastAsia="黑体"/>
        <w:b w:val="0"/>
        <w:bCs w:val="0"/>
      </w:rPr>
    </w:lvl>
    <w:lvl w:ilvl="1" w:tentative="0">
      <w:start w:val="1"/>
      <w:numFmt w:val="japaneseCounting"/>
      <w:lvlText w:val="（%2）"/>
      <w:lvlJc w:val="left"/>
      <w:pPr>
        <w:ind w:left="2141" w:hanging="1080"/>
      </w:pPr>
      <w:rPr>
        <w:rFonts w:hint="default"/>
      </w:rPr>
    </w:lvl>
    <w:lvl w:ilvl="2" w:tentative="0">
      <w:start w:val="1"/>
      <w:numFmt w:val="lowerRoman"/>
      <w:lvlText w:val="%3."/>
      <w:lvlJc w:val="right"/>
      <w:pPr>
        <w:ind w:left="1901" w:hanging="420"/>
      </w:pPr>
      <w:rPr>
        <w:rFonts w:hint="eastAsia"/>
      </w:rPr>
    </w:lvl>
    <w:lvl w:ilvl="3" w:tentative="0">
      <w:start w:val="1"/>
      <w:numFmt w:val="decimal"/>
      <w:lvlText w:val="%4."/>
      <w:lvlJc w:val="left"/>
      <w:pPr>
        <w:ind w:left="2321" w:hanging="420"/>
      </w:pPr>
      <w:rPr>
        <w:rFonts w:hint="eastAsia"/>
      </w:rPr>
    </w:lvl>
    <w:lvl w:ilvl="4" w:tentative="0">
      <w:start w:val="1"/>
      <w:numFmt w:val="lowerLetter"/>
      <w:lvlText w:val="%5)"/>
      <w:lvlJc w:val="left"/>
      <w:pPr>
        <w:ind w:left="2741" w:hanging="420"/>
      </w:pPr>
      <w:rPr>
        <w:rFonts w:hint="eastAsia"/>
      </w:rPr>
    </w:lvl>
    <w:lvl w:ilvl="5" w:tentative="0">
      <w:start w:val="1"/>
      <w:numFmt w:val="lowerRoman"/>
      <w:lvlText w:val="%6."/>
      <w:lvlJc w:val="right"/>
      <w:pPr>
        <w:ind w:left="3161" w:hanging="420"/>
      </w:pPr>
      <w:rPr>
        <w:rFonts w:hint="eastAsia"/>
      </w:rPr>
    </w:lvl>
    <w:lvl w:ilvl="6" w:tentative="0">
      <w:start w:val="1"/>
      <w:numFmt w:val="decimal"/>
      <w:lvlText w:val="%7."/>
      <w:lvlJc w:val="left"/>
      <w:pPr>
        <w:ind w:left="3581" w:hanging="420"/>
      </w:pPr>
      <w:rPr>
        <w:rFonts w:hint="eastAsia"/>
      </w:rPr>
    </w:lvl>
    <w:lvl w:ilvl="7" w:tentative="0">
      <w:start w:val="1"/>
      <w:numFmt w:val="lowerLetter"/>
      <w:lvlText w:val="%8)"/>
      <w:lvlJc w:val="left"/>
      <w:pPr>
        <w:ind w:left="4001" w:hanging="420"/>
      </w:pPr>
      <w:rPr>
        <w:rFonts w:hint="eastAsia"/>
      </w:rPr>
    </w:lvl>
    <w:lvl w:ilvl="8" w:tentative="0">
      <w:start w:val="1"/>
      <w:numFmt w:val="lowerRoman"/>
      <w:lvlText w:val="%9."/>
      <w:lvlJc w:val="right"/>
      <w:pPr>
        <w:ind w:left="4421" w:hanging="420"/>
      </w:pPr>
      <w:rPr>
        <w:rFonts w:hint="eastAsia"/>
      </w:rPr>
    </w:lvl>
  </w:abstractNum>
  <w:abstractNum w:abstractNumId="4">
    <w:nsid w:val="1FC91163"/>
    <w:multiLevelType w:val="multilevel"/>
    <w:tmpl w:val="1FC91163"/>
    <w:lvl w:ilvl="0" w:tentative="0">
      <w:start w:val="1"/>
      <w:numFmt w:val="decimal"/>
      <w:pStyle w:val="13"/>
      <w:suff w:val="nothing"/>
      <w:lvlText w:val="%1　"/>
      <w:lvlJc w:val="left"/>
      <w:pPr>
        <w:ind w:left="0" w:firstLine="0"/>
      </w:pPr>
      <w:rPr>
        <w:rFonts w:hint="eastAsia" w:ascii="黑体" w:hAnsi="Times New Roman" w:eastAsia="黑体"/>
        <w:b w:val="0"/>
        <w:i w:val="0"/>
        <w:sz w:val="21"/>
        <w:szCs w:val="21"/>
      </w:rPr>
    </w:lvl>
    <w:lvl w:ilvl="1" w:tentative="0">
      <w:start w:val="1"/>
      <w:numFmt w:val="decimal"/>
      <w:suff w:val="nothing"/>
      <w:lvlText w:val="%1.%2　"/>
      <w:lvlJc w:val="left"/>
      <w:pPr>
        <w:ind w:left="0" w:firstLine="0"/>
      </w:pPr>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default" w:ascii="黑体" w:hAnsi="Times New Roman" w:eastAsia="黑体"/>
        <w:b w:val="0"/>
        <w:i w:val="0"/>
        <w:color w:val="auto"/>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2FAF5D0C"/>
    <w:multiLevelType w:val="singleLevel"/>
    <w:tmpl w:val="2FAF5D0C"/>
    <w:lvl w:ilvl="0" w:tentative="0">
      <w:start w:val="1"/>
      <w:numFmt w:val="chineseCounting"/>
      <w:suff w:val="space"/>
      <w:lvlText w:val="第%1章"/>
      <w:lvlJc w:val="left"/>
      <w:rPr>
        <w:rFonts w:hint="eastAsia"/>
      </w:rPr>
    </w:lvl>
  </w:abstractNum>
  <w:abstractNum w:abstractNumId="6">
    <w:nsid w:val="44C50F90"/>
    <w:multiLevelType w:val="multilevel"/>
    <w:tmpl w:val="44C50F90"/>
    <w:lvl w:ilvl="0" w:tentative="0">
      <w:start w:val="1"/>
      <w:numFmt w:val="lowerLetter"/>
      <w:pStyle w:val="15"/>
      <w:lvlText w:val="%1)"/>
      <w:lvlJc w:val="left"/>
      <w:pPr>
        <w:tabs>
          <w:tab w:val="left" w:pos="840"/>
        </w:tabs>
        <w:ind w:left="839" w:hanging="419"/>
      </w:pPr>
      <w:rPr>
        <w:rFonts w:hint="eastAsia" w:ascii="宋体" w:eastAsia="宋体"/>
        <w:b w:val="0"/>
        <w:i w:val="0"/>
        <w:sz w:val="21"/>
        <w:szCs w:val="21"/>
      </w:rPr>
    </w:lvl>
    <w:lvl w:ilvl="1" w:tentative="0">
      <w:start w:val="1"/>
      <w:numFmt w:val="decimal"/>
      <w:lvlText w:val="%2)"/>
      <w:lvlJc w:val="left"/>
      <w:pPr>
        <w:tabs>
          <w:tab w:val="left" w:pos="1260"/>
        </w:tabs>
        <w:ind w:left="1259" w:hanging="419"/>
      </w:pPr>
      <w:rPr>
        <w:rFonts w:hint="eastAsia"/>
      </w:rPr>
    </w:lvl>
    <w:lvl w:ilvl="2" w:tentative="0">
      <w:start w:val="1"/>
      <w:numFmt w:val="decimal"/>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7">
    <w:nsid w:val="64E2E9CE"/>
    <w:multiLevelType w:val="singleLevel"/>
    <w:tmpl w:val="64E2E9CE"/>
    <w:lvl w:ilvl="0" w:tentative="0">
      <w:start w:val="6"/>
      <w:numFmt w:val="chineseCounting"/>
      <w:suff w:val="space"/>
      <w:lvlText w:val="第%1条"/>
      <w:lvlJc w:val="left"/>
      <w:rPr>
        <w:rFonts w:hint="eastAsia"/>
      </w:rPr>
    </w:lvl>
  </w:abstractNum>
  <w:num w:numId="1">
    <w:abstractNumId w:val="1"/>
  </w:num>
  <w:num w:numId="2">
    <w:abstractNumId w:val="3"/>
  </w:num>
  <w:num w:numId="3">
    <w:abstractNumId w:val="2"/>
  </w:num>
  <w:num w:numId="4">
    <w:abstractNumId w:val="4"/>
  </w:num>
  <w:num w:numId="5">
    <w:abstractNumId w:val="6"/>
  </w:num>
  <w:num w:numId="6">
    <w:abstractNumId w:val="0"/>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73064"/>
    <w:rsid w:val="021A27AB"/>
    <w:rsid w:val="02B80216"/>
    <w:rsid w:val="0334789D"/>
    <w:rsid w:val="04001E75"/>
    <w:rsid w:val="044E498E"/>
    <w:rsid w:val="061273E2"/>
    <w:rsid w:val="06852FD8"/>
    <w:rsid w:val="07D653C6"/>
    <w:rsid w:val="08C77405"/>
    <w:rsid w:val="09450540"/>
    <w:rsid w:val="096747EA"/>
    <w:rsid w:val="098B3F8E"/>
    <w:rsid w:val="0A075D0B"/>
    <w:rsid w:val="0A397E8E"/>
    <w:rsid w:val="0B3F7726"/>
    <w:rsid w:val="0B837613"/>
    <w:rsid w:val="0E010E25"/>
    <w:rsid w:val="10096227"/>
    <w:rsid w:val="128B3251"/>
    <w:rsid w:val="12F157AA"/>
    <w:rsid w:val="14F43330"/>
    <w:rsid w:val="174A7237"/>
    <w:rsid w:val="18B76B4E"/>
    <w:rsid w:val="19037FE5"/>
    <w:rsid w:val="19E52AA1"/>
    <w:rsid w:val="1A3F504D"/>
    <w:rsid w:val="1A580097"/>
    <w:rsid w:val="1CBD494F"/>
    <w:rsid w:val="1CC23D13"/>
    <w:rsid w:val="1E5B441F"/>
    <w:rsid w:val="1F3C7DAD"/>
    <w:rsid w:val="21274A8D"/>
    <w:rsid w:val="22765384"/>
    <w:rsid w:val="252512E3"/>
    <w:rsid w:val="253A749D"/>
    <w:rsid w:val="270C62B7"/>
    <w:rsid w:val="289E5635"/>
    <w:rsid w:val="29AC1FD3"/>
    <w:rsid w:val="2A2953D2"/>
    <w:rsid w:val="2DF06932"/>
    <w:rsid w:val="2F3B1E2F"/>
    <w:rsid w:val="303C551C"/>
    <w:rsid w:val="30AE2008"/>
    <w:rsid w:val="310224D9"/>
    <w:rsid w:val="3251196A"/>
    <w:rsid w:val="33576B0C"/>
    <w:rsid w:val="337E678E"/>
    <w:rsid w:val="33973635"/>
    <w:rsid w:val="38213B8C"/>
    <w:rsid w:val="3FB35F57"/>
    <w:rsid w:val="402266F3"/>
    <w:rsid w:val="40414DCB"/>
    <w:rsid w:val="42187DAE"/>
    <w:rsid w:val="422E7FA5"/>
    <w:rsid w:val="43923B90"/>
    <w:rsid w:val="43EC504E"/>
    <w:rsid w:val="48683D0B"/>
    <w:rsid w:val="48A155EF"/>
    <w:rsid w:val="4A5E657A"/>
    <w:rsid w:val="4ABC531A"/>
    <w:rsid w:val="4ACE77E2"/>
    <w:rsid w:val="4DA90454"/>
    <w:rsid w:val="4FB56C3C"/>
    <w:rsid w:val="50A56CB1"/>
    <w:rsid w:val="515801C7"/>
    <w:rsid w:val="51D81308"/>
    <w:rsid w:val="52BC4786"/>
    <w:rsid w:val="53760DD8"/>
    <w:rsid w:val="53A72D40"/>
    <w:rsid w:val="53FF4E30"/>
    <w:rsid w:val="54CD67D6"/>
    <w:rsid w:val="55D87B28"/>
    <w:rsid w:val="5A097384"/>
    <w:rsid w:val="5AA21399"/>
    <w:rsid w:val="5BE43011"/>
    <w:rsid w:val="5D325D70"/>
    <w:rsid w:val="5D722610"/>
    <w:rsid w:val="5D9C768D"/>
    <w:rsid w:val="5EAD68C4"/>
    <w:rsid w:val="5EDF7832"/>
    <w:rsid w:val="5EE81F88"/>
    <w:rsid w:val="6065645C"/>
    <w:rsid w:val="624800F5"/>
    <w:rsid w:val="648C220A"/>
    <w:rsid w:val="656767D3"/>
    <w:rsid w:val="67DD29C9"/>
    <w:rsid w:val="693457F9"/>
    <w:rsid w:val="69935DE8"/>
    <w:rsid w:val="6A0A597F"/>
    <w:rsid w:val="6AE14931"/>
    <w:rsid w:val="6F377216"/>
    <w:rsid w:val="70A319D7"/>
    <w:rsid w:val="7218332F"/>
    <w:rsid w:val="75DF0303"/>
    <w:rsid w:val="785978E7"/>
    <w:rsid w:val="7A550EF1"/>
    <w:rsid w:val="7A613399"/>
    <w:rsid w:val="7AEC7106"/>
    <w:rsid w:val="7D951CD7"/>
    <w:rsid w:val="7ED20D09"/>
    <w:rsid w:val="7F2C666B"/>
    <w:rsid w:val="7FB40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3"/>
    <w:next w:val="1"/>
    <w:qFormat/>
    <w:uiPriority w:val="9"/>
    <w:pPr>
      <w:numPr>
        <w:ilvl w:val="0"/>
        <w:numId w:val="1"/>
      </w:numPr>
      <w:adjustRightInd w:val="0"/>
      <w:snapToGrid w:val="0"/>
      <w:spacing w:beforeLines="100" w:afterLines="50" w:line="560" w:lineRule="exact"/>
      <w:ind w:firstLine="0"/>
      <w:jc w:val="center"/>
      <w:outlineLvl w:val="0"/>
    </w:pPr>
    <w:rPr>
      <w:rFonts w:ascii="仿宋_GB2312" w:hAnsi="仿宋_GB2312" w:eastAsia="仿宋_GB2312"/>
      <w:b/>
      <w:snapToGrid w:val="0"/>
      <w:kern w:val="0"/>
      <w:sz w:val="32"/>
      <w:szCs w:val="32"/>
      <w:lang w:val="zh-CN"/>
    </w:rPr>
  </w:style>
  <w:style w:type="paragraph" w:styleId="4">
    <w:name w:val="heading 2"/>
    <w:basedOn w:val="1"/>
    <w:next w:val="1"/>
    <w:qFormat/>
    <w:uiPriority w:val="9"/>
    <w:pPr>
      <w:numPr>
        <w:ilvl w:val="0"/>
        <w:numId w:val="2"/>
      </w:numPr>
      <w:snapToGrid w:val="0"/>
      <w:spacing w:line="560" w:lineRule="exact"/>
      <w:outlineLvl w:val="1"/>
    </w:pPr>
    <w:rPr>
      <w:rFonts w:ascii="仿宋_GB2312" w:hAnsi="Cambria" w:eastAsia="仿宋_GB2312"/>
      <w:bCs/>
      <w:snapToGrid w:val="0"/>
      <w:kern w:val="0"/>
      <w:sz w:val="32"/>
      <w:szCs w:val="32"/>
    </w:rPr>
  </w:style>
  <w:style w:type="paragraph" w:styleId="5">
    <w:name w:val="heading 3"/>
    <w:basedOn w:val="6"/>
    <w:next w:val="1"/>
    <w:qFormat/>
    <w:uiPriority w:val="9"/>
    <w:pPr>
      <w:numPr>
        <w:ilvl w:val="0"/>
        <w:numId w:val="3"/>
      </w:numPr>
      <w:outlineLvl w:val="2"/>
    </w:pPr>
    <w:rPr>
      <w:rFonts w:hAnsi="Calibri"/>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3">
    <w:name w:val="列出段落1"/>
    <w:basedOn w:val="1"/>
    <w:qFormat/>
    <w:uiPriority w:val="99"/>
    <w:pPr>
      <w:adjustRightInd w:val="0"/>
      <w:spacing w:line="560" w:lineRule="exact"/>
      <w:ind w:firstLine="420" w:firstLineChars="200"/>
      <w:textAlignment w:val="baseline"/>
    </w:pPr>
    <w:rPr>
      <w:rFonts w:ascii="仿宋_GB2312" w:eastAsia="仿宋_GB2312"/>
      <w:kern w:val="0"/>
      <w:sz w:val="32"/>
      <w:szCs w:val="20"/>
    </w:rPr>
  </w:style>
  <w:style w:type="paragraph" w:customStyle="1" w:styleId="6">
    <w:name w:val="正文-仿宋"/>
    <w:basedOn w:val="1"/>
    <w:qFormat/>
    <w:uiPriority w:val="0"/>
    <w:pPr>
      <w:widowControl/>
      <w:snapToGrid w:val="0"/>
      <w:spacing w:line="560" w:lineRule="exact"/>
      <w:ind w:firstLine="640" w:firstLineChars="200"/>
    </w:pPr>
    <w:rPr>
      <w:rFonts w:ascii="仿宋_GB2312" w:hAnsi="仿宋" w:eastAsia="仿宋_GB2312"/>
      <w:snapToGrid w:val="0"/>
      <w:kern w:val="0"/>
      <w:sz w:val="32"/>
      <w:szCs w:val="32"/>
    </w:rPr>
  </w:style>
  <w:style w:type="paragraph" w:styleId="7">
    <w:name w:val="Body Text Indent"/>
    <w:basedOn w:val="1"/>
    <w:unhideWhenUsed/>
    <w:qFormat/>
    <w:uiPriority w:val="0"/>
    <w:pPr>
      <w:ind w:left="1078" w:firstLine="182" w:firstLineChars="65"/>
    </w:pPr>
    <w:rPr>
      <w:rFonts w:ascii="宋体" w:hAnsi="宋体" w:eastAsia="宋体" w:cs="Times New Roman"/>
      <w:sz w:val="28"/>
      <w:szCs w:val="24"/>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Normal (Web)"/>
    <w:basedOn w:val="1"/>
    <w:qFormat/>
    <w:uiPriority w:val="0"/>
    <w:pPr>
      <w:spacing w:beforeAutospacing="1" w:afterAutospacing="1"/>
      <w:jc w:val="left"/>
    </w:pPr>
    <w:rPr>
      <w:rFonts w:cs="Times New Roman"/>
      <w:kern w:val="0"/>
      <w:sz w:val="24"/>
      <w:szCs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章标题"/>
    <w:next w:val="14"/>
    <w:qFormat/>
    <w:uiPriority w:val="0"/>
    <w:pPr>
      <w:numPr>
        <w:ilvl w:val="0"/>
        <w:numId w:val="4"/>
      </w:numPr>
      <w:spacing w:beforeLines="100" w:afterLines="100"/>
      <w:jc w:val="both"/>
      <w:outlineLvl w:val="1"/>
    </w:pPr>
    <w:rPr>
      <w:rFonts w:ascii="黑体" w:hAnsi="Times New Roman" w:eastAsia="黑体" w:cs="Times New Roman"/>
      <w:sz w:val="21"/>
      <w:lang w:val="en-US" w:eastAsia="zh-CN" w:bidi="ar-SA"/>
    </w:rPr>
  </w:style>
  <w:style w:type="paragraph" w:customStyle="1" w:styleId="1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5">
    <w:name w:val="字母编号列项（一级）"/>
    <w:qFormat/>
    <w:uiPriority w:val="0"/>
    <w:pPr>
      <w:numPr>
        <w:ilvl w:val="0"/>
        <w:numId w:val="5"/>
      </w:numPr>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16850</Words>
  <Characters>17443</Characters>
  <Lines>0</Lines>
  <Paragraphs>0</Paragraphs>
  <TotalTime>1</TotalTime>
  <ScaleCrop>false</ScaleCrop>
  <LinksUpToDate>false</LinksUpToDate>
  <CharactersWithSpaces>17660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2025-12-15T01:10:00Z</dcterms:created>
  <dc:creator>yanyubo</dc:creator>
  <cp:lastModifiedBy>演示人</cp:lastModifiedBy>
  <dcterms:modified xsi:type="dcterms:W3CDTF">2026-03-23T01:58:09Z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eyJoZGlkIjoiMTc1ZDA1ZWFmOTQ1NWI4N2NmNzdiNjEwMjIzY2Y0ZWQifQ==</vt:lpwstr>
  </property>
  <property fmtid="{D5CDD505-2E9C-101B-9397-08002B2CF9AE}" pid="4" name="ICV">
    <vt:lpwstr>B1042EF6FFD94496AB78900696D9F559_12</vt:lpwstr>
  </property>
</Properties>
</file>